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A4B93" w14:textId="77777777" w:rsidR="002B4485" w:rsidRDefault="002B4485" w:rsidP="002B4485">
      <w:pPr>
        <w:pStyle w:val="Encadrfond"/>
      </w:pPr>
      <w:r>
        <w:t>Enseignement scientifique</w:t>
      </w:r>
    </w:p>
    <w:p w14:paraId="4DF226FC" w14:textId="77777777" w:rsidR="002B4485" w:rsidRDefault="002B4485" w:rsidP="002B4485">
      <w:pPr>
        <w:pStyle w:val="Encadrfond"/>
      </w:pPr>
      <w:r>
        <w:t xml:space="preserve">Niveau : première </w:t>
      </w:r>
    </w:p>
    <w:p w14:paraId="5DCE708E" w14:textId="77777777" w:rsidR="002B4485" w:rsidRDefault="002B4485" w:rsidP="002B4485">
      <w:pPr>
        <w:jc w:val="center"/>
        <w:rPr>
          <w:sz w:val="56"/>
          <w:szCs w:val="56"/>
        </w:rPr>
      </w:pPr>
      <w:r w:rsidRPr="00B37A7E">
        <w:rPr>
          <w:sz w:val="56"/>
          <w:szCs w:val="56"/>
        </w:rPr>
        <w:t xml:space="preserve">Les cycles de la </w:t>
      </w:r>
      <w:r>
        <w:rPr>
          <w:sz w:val="56"/>
          <w:szCs w:val="56"/>
        </w:rPr>
        <w:t>L</w:t>
      </w:r>
      <w:r w:rsidRPr="00B37A7E">
        <w:rPr>
          <w:sz w:val="56"/>
          <w:szCs w:val="56"/>
        </w:rPr>
        <w:t>une et le nombre de</w:t>
      </w:r>
      <w:r>
        <w:rPr>
          <w:sz w:val="56"/>
          <w:szCs w:val="56"/>
        </w:rPr>
        <w:t xml:space="preserve"> naissances</w:t>
      </w:r>
    </w:p>
    <w:p w14:paraId="53C0DDB6" w14:textId="77777777" w:rsidR="002B4485" w:rsidRDefault="002B4485" w:rsidP="002B4485">
      <w:pPr>
        <w:jc w:val="center"/>
      </w:pPr>
      <w:r>
        <w:t>Démarche scientifique, Esprit critique, Éducation aux médias</w:t>
      </w:r>
    </w:p>
    <w:p w14:paraId="2BCB87D6" w14:textId="2B041B6B" w:rsidR="002B4485" w:rsidRPr="00893D3C" w:rsidRDefault="002B4485" w:rsidP="002B4485">
      <w:pPr>
        <w:pStyle w:val="Titre1"/>
      </w:pPr>
      <w:r>
        <w:rPr>
          <w:rStyle w:val="Titre2Car"/>
          <w:rFonts w:ascii="Marianne Medium" w:hAnsi="Marianne Medium"/>
          <w:color w:val="465F9D"/>
          <w:sz w:val="36"/>
          <w:szCs w:val="36"/>
        </w:rPr>
        <w:t>Énoncé</w:t>
      </w:r>
    </w:p>
    <w:p w14:paraId="3A26E44D" w14:textId="77777777" w:rsidR="002B4485" w:rsidRPr="00AF3B1B" w:rsidRDefault="002B4485" w:rsidP="002B4485">
      <w:pPr>
        <w:pStyle w:val="Titre2"/>
        <w:rPr>
          <w:rFonts w:eastAsiaTheme="minorHAnsi"/>
        </w:rPr>
      </w:pPr>
      <w:r w:rsidRPr="00AF3B1B">
        <w:rPr>
          <w:rFonts w:eastAsiaTheme="minorHAnsi"/>
        </w:rPr>
        <w:t>PARTIE I : Commencer l’enquête</w:t>
      </w:r>
    </w:p>
    <w:p w14:paraId="0111235C" w14:textId="77777777" w:rsidR="002B4485" w:rsidRDefault="002B4485" w:rsidP="002B4485">
      <w:pPr>
        <w:spacing w:before="120" w:after="120"/>
      </w:pPr>
      <w:r>
        <w:t xml:space="preserve">Dans cette partie, le professeur projette au tableau le </w:t>
      </w:r>
      <w:r w:rsidRPr="005C08A0">
        <w:rPr>
          <w:b/>
          <w:bCs/>
        </w:rPr>
        <w:t>support 1</w:t>
      </w:r>
      <w:r>
        <w:t xml:space="preserve"> puis initie un échange avec les élèves à partir de questions du type : </w:t>
      </w:r>
    </w:p>
    <w:p w14:paraId="09863B8B" w14:textId="77777777" w:rsidR="002B4485" w:rsidRDefault="002B4485" w:rsidP="002B4485">
      <w:pPr>
        <w:pStyle w:val="Paragraphedeliste"/>
        <w:numPr>
          <w:ilvl w:val="0"/>
          <w:numId w:val="4"/>
        </w:numPr>
        <w:spacing w:before="120" w:after="120"/>
      </w:pPr>
      <w:r w:rsidRPr="000051FB">
        <w:t xml:space="preserve">Quelles idées spécifiques avez-vous entendues concernant l'influence de la Lune </w:t>
      </w:r>
      <w:r>
        <w:t xml:space="preserve">ou concernant l’influence de la Lune </w:t>
      </w:r>
      <w:r w:rsidRPr="000051FB">
        <w:t xml:space="preserve">sur les </w:t>
      </w:r>
      <w:r>
        <w:t>accouchements</w:t>
      </w:r>
      <w:r w:rsidRPr="000051FB">
        <w:t xml:space="preserve"> ?</w:t>
      </w:r>
    </w:p>
    <w:p w14:paraId="7DA70308" w14:textId="77777777" w:rsidR="002B4485" w:rsidRPr="000051FB" w:rsidRDefault="002B4485" w:rsidP="002B4485">
      <w:pPr>
        <w:pStyle w:val="Paragraphedeliste"/>
        <w:numPr>
          <w:ilvl w:val="0"/>
          <w:numId w:val="4"/>
        </w:numPr>
        <w:spacing w:before="120" w:after="120"/>
      </w:pPr>
      <w:r w:rsidRPr="000051FB">
        <w:t xml:space="preserve">Quelles </w:t>
      </w:r>
      <w:r>
        <w:t>hypothèses</w:t>
      </w:r>
      <w:r w:rsidRPr="000051FB">
        <w:t xml:space="preserve"> pouvez-vous proposer sur la manière </w:t>
      </w:r>
      <w:r>
        <w:t>avec laquelle</w:t>
      </w:r>
      <w:r w:rsidRPr="000051FB">
        <w:t xml:space="preserve"> les cycles lunaires pourraient potentiellement influencer les </w:t>
      </w:r>
      <w:r>
        <w:t>accouchements ?</w:t>
      </w:r>
    </w:p>
    <w:p w14:paraId="3F0B2009" w14:textId="1B365D41" w:rsidR="002B4485" w:rsidRPr="000051FB" w:rsidRDefault="002B4485" w:rsidP="002B4485">
      <w:pPr>
        <w:pStyle w:val="Paragraphedeliste"/>
        <w:numPr>
          <w:ilvl w:val="0"/>
          <w:numId w:val="4"/>
        </w:numPr>
        <w:spacing w:before="120" w:after="120"/>
      </w:pPr>
      <w:r w:rsidRPr="000051FB">
        <w:t xml:space="preserve">Avez-vous des exemples concrets ou des observations qui pourraient étayer ou réfuter l'idée de l'influence de la Lune sur les </w:t>
      </w:r>
      <w:r>
        <w:t>accouchements</w:t>
      </w:r>
      <w:r w:rsidRPr="000051FB">
        <w:t xml:space="preserve"> ?</w:t>
      </w:r>
    </w:p>
    <w:p w14:paraId="28D8D522" w14:textId="77777777" w:rsidR="002B4485" w:rsidRDefault="002B4485" w:rsidP="002B4485">
      <w:pPr>
        <w:spacing w:before="120" w:after="120"/>
      </w:pPr>
      <w:r>
        <w:t xml:space="preserve">Le professeur distribue le </w:t>
      </w:r>
      <w:r w:rsidRPr="005C08A0">
        <w:rPr>
          <w:b/>
          <w:bCs/>
        </w:rPr>
        <w:t>support 10</w:t>
      </w:r>
      <w:r>
        <w:t xml:space="preserve"> et demande si les témoignages suffisent à établir un lien entre le nombre de naissances et les soirs de pleine lune. Si les élèves ne le font pas émerger, le professeur demande ce qu’il faudrait faire pour savoir si le nombre de naissances est plus élevé les soirs de pleine lune. La question de la démarche scientifique devrait émerger avec l’idée d’un test d’hypothèse. Le professeur propose alors de tester ce lien supposé, dans un premier temps à l’échelle de la classe. </w:t>
      </w:r>
    </w:p>
    <w:p w14:paraId="2175475B" w14:textId="77777777" w:rsidR="002B4485" w:rsidRDefault="002B4485" w:rsidP="002B4485">
      <w:pPr>
        <w:spacing w:before="120" w:after="120"/>
      </w:pPr>
      <w:r>
        <w:t xml:space="preserve">Liste des outils nécessaires : </w:t>
      </w:r>
    </w:p>
    <w:p w14:paraId="2B3F24E8" w14:textId="77777777" w:rsidR="002B4485" w:rsidRDefault="002B4485" w:rsidP="002B4485">
      <w:pPr>
        <w:pStyle w:val="Paragraphedeliste"/>
        <w:numPr>
          <w:ilvl w:val="0"/>
          <w:numId w:val="2"/>
        </w:numPr>
        <w:spacing w:before="120" w:after="120"/>
      </w:pPr>
      <w:proofErr w:type="gramStart"/>
      <w:r>
        <w:t>un</w:t>
      </w:r>
      <w:proofErr w:type="gramEnd"/>
      <w:r>
        <w:rPr>
          <w:rStyle w:val="Lienhypertexte"/>
        </w:rPr>
        <w:t xml:space="preserve"> calendrier lunaire </w:t>
      </w:r>
      <w:r>
        <w:t xml:space="preserve">permettant de trouver le jour de lunaison correspondant à chaque jour d’une année donnée ; </w:t>
      </w:r>
    </w:p>
    <w:p w14:paraId="3077B09F" w14:textId="77777777" w:rsidR="002B4485" w:rsidRDefault="002B4485" w:rsidP="002B4485">
      <w:pPr>
        <w:pStyle w:val="Paragraphedeliste"/>
        <w:numPr>
          <w:ilvl w:val="0"/>
          <w:numId w:val="1"/>
        </w:numPr>
        <w:rPr>
          <w:iCs w:val="0"/>
        </w:rPr>
      </w:pPr>
      <w:proofErr w:type="gramStart"/>
      <w:r>
        <w:rPr>
          <w:iCs w:val="0"/>
        </w:rPr>
        <w:t>la</w:t>
      </w:r>
      <w:proofErr w:type="gramEnd"/>
      <w:r>
        <w:rPr>
          <w:iCs w:val="0"/>
        </w:rPr>
        <w:t xml:space="preserve"> liste anonymisée des élèves avec leurs dates de naissance projetée à toute la classe ; </w:t>
      </w:r>
    </w:p>
    <w:p w14:paraId="7ABFA384" w14:textId="77777777" w:rsidR="002B4485" w:rsidRDefault="002B4485" w:rsidP="002B4485">
      <w:pPr>
        <w:pStyle w:val="Paragraphedeliste"/>
        <w:numPr>
          <w:ilvl w:val="0"/>
          <w:numId w:val="1"/>
        </w:numPr>
        <w:rPr>
          <w:iCs w:val="0"/>
        </w:rPr>
      </w:pPr>
      <w:proofErr w:type="gramStart"/>
      <w:r>
        <w:rPr>
          <w:iCs w:val="0"/>
        </w:rPr>
        <w:lastRenderedPageBreak/>
        <w:t>un</w:t>
      </w:r>
      <w:proofErr w:type="gramEnd"/>
      <w:r>
        <w:rPr>
          <w:iCs w:val="0"/>
        </w:rPr>
        <w:t xml:space="preserve"> tableau collectif permettant de comptabiliser, pour les élèves de la classe, le nombre de naissances pour chaque phase de la Lune</w:t>
      </w:r>
      <w:r>
        <w:rPr>
          <w:rStyle w:val="Appelnotedebasdep"/>
          <w:iCs w:val="0"/>
        </w:rPr>
        <w:footnoteReference w:id="1"/>
      </w:r>
      <w:r>
        <w:rPr>
          <w:iCs w:val="0"/>
        </w:rPr>
        <w:t>.</w:t>
      </w:r>
    </w:p>
    <w:tbl>
      <w:tblPr>
        <w:tblStyle w:val="TableauRA"/>
        <w:tblW w:w="5000" w:type="pct"/>
        <w:tblLayout w:type="fixed"/>
        <w:tblLook w:val="04A0" w:firstRow="1" w:lastRow="0" w:firstColumn="1" w:lastColumn="0" w:noHBand="0" w:noVBand="1"/>
      </w:tblPr>
      <w:tblGrid>
        <w:gridCol w:w="858"/>
        <w:gridCol w:w="646"/>
        <w:gridCol w:w="756"/>
        <w:gridCol w:w="705"/>
        <w:gridCol w:w="808"/>
        <w:gridCol w:w="757"/>
        <w:gridCol w:w="757"/>
        <w:gridCol w:w="757"/>
        <w:gridCol w:w="757"/>
        <w:gridCol w:w="757"/>
        <w:gridCol w:w="757"/>
        <w:gridCol w:w="757"/>
      </w:tblGrid>
      <w:tr w:rsidR="002B4485" w14:paraId="3C7914F8" w14:textId="77777777" w:rsidTr="00DC5FD7">
        <w:trPr>
          <w:cnfStyle w:val="100000000000" w:firstRow="1" w:lastRow="0" w:firstColumn="0" w:lastColumn="0" w:oddVBand="0" w:evenVBand="0" w:oddHBand="0" w:evenHBand="0" w:firstRowFirstColumn="0" w:firstRowLastColumn="0" w:lastRowFirstColumn="0" w:lastRowLastColumn="0"/>
        </w:trPr>
        <w:tc>
          <w:tcPr>
            <w:tcW w:w="993" w:type="dxa"/>
          </w:tcPr>
          <w:p w14:paraId="24F10467" w14:textId="77777777" w:rsidR="002B4485" w:rsidRDefault="002B4485" w:rsidP="00DC5FD7">
            <w:pPr>
              <w:pStyle w:val="Tableauentte"/>
            </w:pPr>
            <w:r>
              <w:t xml:space="preserve">Phase </w:t>
            </w:r>
          </w:p>
        </w:tc>
        <w:tc>
          <w:tcPr>
            <w:tcW w:w="745" w:type="dxa"/>
          </w:tcPr>
          <w:p w14:paraId="4D42AA3A" w14:textId="77777777" w:rsidR="002B4485" w:rsidRDefault="002B4485" w:rsidP="00DC5FD7">
            <w:pPr>
              <w:pStyle w:val="Tableauentte"/>
              <w:rPr>
                <w:rFonts w:ascii="Arial" w:hAnsi="Arial" w:cs="Arial"/>
              </w:rPr>
            </w:pPr>
            <w:r>
              <w:t>…</w:t>
            </w:r>
          </w:p>
        </w:tc>
        <w:tc>
          <w:tcPr>
            <w:tcW w:w="872" w:type="dxa"/>
          </w:tcPr>
          <w:p w14:paraId="11893F80" w14:textId="77777777" w:rsidR="002B4485" w:rsidRDefault="002B4485" w:rsidP="00DC5FD7">
            <w:pPr>
              <w:pStyle w:val="Tableauentte"/>
              <w:rPr>
                <w:rFonts w:ascii="Arial" w:hAnsi="Arial" w:cs="Arial"/>
              </w:rPr>
            </w:pPr>
            <w:r>
              <w:t>-4</w:t>
            </w:r>
          </w:p>
        </w:tc>
        <w:tc>
          <w:tcPr>
            <w:tcW w:w="812" w:type="dxa"/>
          </w:tcPr>
          <w:p w14:paraId="5955CF77" w14:textId="77777777" w:rsidR="002B4485" w:rsidRDefault="002B4485" w:rsidP="00DC5FD7">
            <w:pPr>
              <w:pStyle w:val="Tableauentte"/>
              <w:rPr>
                <w:rFonts w:ascii="Arial" w:hAnsi="Arial" w:cs="Arial"/>
              </w:rPr>
            </w:pPr>
            <w:r>
              <w:t>-3</w:t>
            </w:r>
          </w:p>
        </w:tc>
        <w:tc>
          <w:tcPr>
            <w:tcW w:w="933" w:type="dxa"/>
          </w:tcPr>
          <w:p w14:paraId="4C04EA63" w14:textId="77777777" w:rsidR="002B4485" w:rsidRDefault="002B4485" w:rsidP="00DC5FD7">
            <w:pPr>
              <w:pStyle w:val="Tableauentte"/>
            </w:pPr>
            <w:r>
              <w:t>-2</w:t>
            </w:r>
          </w:p>
        </w:tc>
        <w:tc>
          <w:tcPr>
            <w:tcW w:w="873" w:type="dxa"/>
          </w:tcPr>
          <w:p w14:paraId="73A0AFDA" w14:textId="77777777" w:rsidR="002B4485" w:rsidRDefault="002B4485" w:rsidP="00DC5FD7">
            <w:pPr>
              <w:pStyle w:val="Tableauentte"/>
            </w:pPr>
            <w:r>
              <w:t>-1</w:t>
            </w:r>
          </w:p>
        </w:tc>
        <w:tc>
          <w:tcPr>
            <w:tcW w:w="873" w:type="dxa"/>
          </w:tcPr>
          <w:p w14:paraId="768740DE" w14:textId="77777777" w:rsidR="002B4485" w:rsidRDefault="002B4485" w:rsidP="00DC5FD7">
            <w:pPr>
              <w:pStyle w:val="Tableauentte"/>
            </w:pPr>
            <w:r>
              <w:t>0</w:t>
            </w:r>
          </w:p>
        </w:tc>
        <w:tc>
          <w:tcPr>
            <w:tcW w:w="873" w:type="dxa"/>
          </w:tcPr>
          <w:p w14:paraId="3DD07C76" w14:textId="77777777" w:rsidR="002B4485" w:rsidRPr="004F1D93" w:rsidRDefault="002B4485" w:rsidP="00DC5FD7">
            <w:pPr>
              <w:pStyle w:val="Tableauentte"/>
              <w:rPr>
                <w:vertAlign w:val="subscript"/>
              </w:rPr>
            </w:pPr>
            <w:r w:rsidRPr="00671387">
              <w:t>+</w:t>
            </w:r>
            <w:r>
              <w:t>1</w:t>
            </w:r>
          </w:p>
        </w:tc>
        <w:tc>
          <w:tcPr>
            <w:tcW w:w="873" w:type="dxa"/>
          </w:tcPr>
          <w:p w14:paraId="02437F6E" w14:textId="77777777" w:rsidR="002B4485" w:rsidRDefault="002B4485" w:rsidP="00DC5FD7">
            <w:pPr>
              <w:pStyle w:val="Tableauentte"/>
            </w:pPr>
            <w:r w:rsidRPr="00671387">
              <w:t>+</w:t>
            </w:r>
            <w:r>
              <w:t>2</w:t>
            </w:r>
          </w:p>
        </w:tc>
        <w:tc>
          <w:tcPr>
            <w:tcW w:w="873" w:type="dxa"/>
          </w:tcPr>
          <w:p w14:paraId="727C5A27" w14:textId="77777777" w:rsidR="002B4485" w:rsidRDefault="002B4485" w:rsidP="00DC5FD7">
            <w:pPr>
              <w:pStyle w:val="Tableauentte"/>
            </w:pPr>
            <w:r w:rsidRPr="00671387">
              <w:t>+</w:t>
            </w:r>
            <w:r>
              <w:t>3</w:t>
            </w:r>
          </w:p>
        </w:tc>
        <w:tc>
          <w:tcPr>
            <w:tcW w:w="873" w:type="dxa"/>
          </w:tcPr>
          <w:p w14:paraId="279B770B" w14:textId="77777777" w:rsidR="002B4485" w:rsidRPr="00671387" w:rsidRDefault="002B4485" w:rsidP="00DC5FD7">
            <w:pPr>
              <w:pStyle w:val="Tableauentte"/>
            </w:pPr>
            <w:r w:rsidRPr="00671387">
              <w:t>+</w:t>
            </w:r>
            <w:r>
              <w:t>4</w:t>
            </w:r>
          </w:p>
        </w:tc>
        <w:tc>
          <w:tcPr>
            <w:tcW w:w="873" w:type="dxa"/>
          </w:tcPr>
          <w:p w14:paraId="1232A88E" w14:textId="77777777" w:rsidR="002B4485" w:rsidRPr="00671387" w:rsidRDefault="002B4485" w:rsidP="00DC5FD7">
            <w:pPr>
              <w:pStyle w:val="Tableauentte"/>
            </w:pPr>
            <w:r>
              <w:t>…</w:t>
            </w:r>
          </w:p>
        </w:tc>
      </w:tr>
      <w:tr w:rsidR="002B4485" w14:paraId="25845E65" w14:textId="77777777" w:rsidTr="00DC5FD7">
        <w:tc>
          <w:tcPr>
            <w:tcW w:w="993" w:type="dxa"/>
          </w:tcPr>
          <w:p w14:paraId="0C264F94" w14:textId="77777777" w:rsidR="002B4485" w:rsidRDefault="002B4485" w:rsidP="00DC5FD7">
            <w:pPr>
              <w:pStyle w:val="Tableaucontenu"/>
            </w:pPr>
            <w:r>
              <w:t>Nombre</w:t>
            </w:r>
          </w:p>
        </w:tc>
        <w:tc>
          <w:tcPr>
            <w:tcW w:w="745" w:type="dxa"/>
          </w:tcPr>
          <w:p w14:paraId="34C7A04E" w14:textId="77777777" w:rsidR="002B4485" w:rsidRDefault="002B4485" w:rsidP="00DC5FD7">
            <w:pPr>
              <w:pStyle w:val="Tableaupuces"/>
              <w:numPr>
                <w:ilvl w:val="0"/>
                <w:numId w:val="0"/>
              </w:numPr>
              <w:ind w:left="170"/>
            </w:pPr>
          </w:p>
        </w:tc>
        <w:tc>
          <w:tcPr>
            <w:tcW w:w="872" w:type="dxa"/>
          </w:tcPr>
          <w:p w14:paraId="695DAB5F" w14:textId="77777777" w:rsidR="002B4485" w:rsidRDefault="002B4485" w:rsidP="00DC5FD7">
            <w:pPr>
              <w:pStyle w:val="Tableautirets"/>
              <w:numPr>
                <w:ilvl w:val="0"/>
                <w:numId w:val="0"/>
              </w:numPr>
              <w:ind w:left="170"/>
            </w:pPr>
          </w:p>
        </w:tc>
        <w:tc>
          <w:tcPr>
            <w:tcW w:w="812" w:type="dxa"/>
          </w:tcPr>
          <w:p w14:paraId="49844FF3" w14:textId="77777777" w:rsidR="002B4485" w:rsidRDefault="002B4485" w:rsidP="00DC5FD7">
            <w:pPr>
              <w:keepNext/>
              <w:rPr>
                <w:rFonts w:ascii="Arial" w:hAnsi="Arial"/>
              </w:rPr>
            </w:pPr>
          </w:p>
        </w:tc>
        <w:tc>
          <w:tcPr>
            <w:tcW w:w="933" w:type="dxa"/>
          </w:tcPr>
          <w:p w14:paraId="73FC0174" w14:textId="77777777" w:rsidR="002B4485" w:rsidRDefault="002B4485" w:rsidP="00DC5FD7">
            <w:pPr>
              <w:keepNext/>
              <w:rPr>
                <w:rFonts w:ascii="Arial" w:hAnsi="Arial"/>
              </w:rPr>
            </w:pPr>
          </w:p>
        </w:tc>
        <w:tc>
          <w:tcPr>
            <w:tcW w:w="873" w:type="dxa"/>
          </w:tcPr>
          <w:p w14:paraId="25D0B9BA" w14:textId="77777777" w:rsidR="002B4485" w:rsidRDefault="002B4485" w:rsidP="00DC5FD7">
            <w:pPr>
              <w:keepNext/>
              <w:rPr>
                <w:rFonts w:ascii="Arial" w:hAnsi="Arial"/>
              </w:rPr>
            </w:pPr>
          </w:p>
        </w:tc>
        <w:tc>
          <w:tcPr>
            <w:tcW w:w="873" w:type="dxa"/>
          </w:tcPr>
          <w:p w14:paraId="5371CE57" w14:textId="77777777" w:rsidR="002B4485" w:rsidRDefault="002B4485" w:rsidP="00DC5FD7">
            <w:pPr>
              <w:keepNext/>
              <w:rPr>
                <w:rFonts w:ascii="Arial" w:hAnsi="Arial"/>
              </w:rPr>
            </w:pPr>
          </w:p>
        </w:tc>
        <w:tc>
          <w:tcPr>
            <w:tcW w:w="873" w:type="dxa"/>
          </w:tcPr>
          <w:p w14:paraId="5005BB2B" w14:textId="77777777" w:rsidR="002B4485" w:rsidRDefault="002B4485" w:rsidP="00DC5FD7">
            <w:pPr>
              <w:keepNext/>
              <w:rPr>
                <w:rFonts w:ascii="Arial" w:hAnsi="Arial"/>
              </w:rPr>
            </w:pPr>
          </w:p>
        </w:tc>
        <w:tc>
          <w:tcPr>
            <w:tcW w:w="873" w:type="dxa"/>
          </w:tcPr>
          <w:p w14:paraId="06EA391D" w14:textId="77777777" w:rsidR="002B4485" w:rsidRDefault="002B4485" w:rsidP="00DC5FD7">
            <w:pPr>
              <w:keepNext/>
              <w:rPr>
                <w:rFonts w:ascii="Arial" w:hAnsi="Arial"/>
              </w:rPr>
            </w:pPr>
          </w:p>
        </w:tc>
        <w:tc>
          <w:tcPr>
            <w:tcW w:w="873" w:type="dxa"/>
          </w:tcPr>
          <w:p w14:paraId="629DD4DD" w14:textId="77777777" w:rsidR="002B4485" w:rsidRDefault="002B4485" w:rsidP="00DC5FD7">
            <w:pPr>
              <w:keepNext/>
              <w:rPr>
                <w:rFonts w:ascii="Arial" w:hAnsi="Arial"/>
              </w:rPr>
            </w:pPr>
          </w:p>
        </w:tc>
        <w:tc>
          <w:tcPr>
            <w:tcW w:w="873" w:type="dxa"/>
          </w:tcPr>
          <w:p w14:paraId="5BFC1F7D" w14:textId="77777777" w:rsidR="002B4485" w:rsidRDefault="002B4485" w:rsidP="00DC5FD7">
            <w:pPr>
              <w:keepNext/>
              <w:rPr>
                <w:rFonts w:ascii="Arial" w:hAnsi="Arial"/>
              </w:rPr>
            </w:pPr>
          </w:p>
        </w:tc>
        <w:tc>
          <w:tcPr>
            <w:tcW w:w="873" w:type="dxa"/>
          </w:tcPr>
          <w:p w14:paraId="7250EC41" w14:textId="77777777" w:rsidR="002B4485" w:rsidRDefault="002B4485" w:rsidP="00DC5FD7">
            <w:pPr>
              <w:keepNext/>
              <w:rPr>
                <w:rFonts w:ascii="Arial" w:hAnsi="Arial"/>
              </w:rPr>
            </w:pPr>
          </w:p>
        </w:tc>
      </w:tr>
    </w:tbl>
    <w:p w14:paraId="62260801" w14:textId="77777777" w:rsidR="002B4485" w:rsidRDefault="002B4485" w:rsidP="002B4485">
      <w:pPr>
        <w:rPr>
          <w:iCs w:val="0"/>
        </w:rPr>
      </w:pPr>
      <w:r>
        <w:rPr>
          <w:iCs w:val="0"/>
        </w:rPr>
        <w:t>Le professeur forme des groupes de quatre élèves. Chaque groupe doit déterminer le jour de lunaison qui correspond aux dates de naissance des élèves du groupe. Le professeur compile les réponses dans le tableau.</w:t>
      </w:r>
    </w:p>
    <w:p w14:paraId="680DFADB" w14:textId="77777777" w:rsidR="002B4485" w:rsidRDefault="002B4485" w:rsidP="002B4485">
      <w:pPr>
        <w:rPr>
          <w:iCs w:val="0"/>
        </w:rPr>
      </w:pPr>
      <w:r>
        <w:t>Toujours avec l’appui de l’échelle de preuve (</w:t>
      </w:r>
      <w:r w:rsidRPr="00BF290E">
        <w:rPr>
          <w:b/>
        </w:rPr>
        <w:t xml:space="preserve">ressource </w:t>
      </w:r>
      <w:r>
        <w:rPr>
          <w:b/>
        </w:rPr>
        <w:t>10</w:t>
      </w:r>
      <w:r>
        <w:t xml:space="preserve">), le professeur amène l’idée qu'il est difficile de tirer une conclusion car le tableau construit précédemment ne contient pas suffisamment de dates de naissance pour permettre une comparaison entre les différentes phases de la Lune. En effet, une seule étude de cas à l’échelle d’une seule classe a un niveau de preuve plus faible qu’une étude de cohorte avec un nombre plus élevé de participants. Il suggère ou encourage les élèves à suggérer la nécessité d'obtenir davantage de données. </w:t>
      </w:r>
      <w:r>
        <w:rPr>
          <w:iCs w:val="0"/>
        </w:rPr>
        <w:t>En fonction du temps disponible, le professeur peut compiler les données de plusieurs classes du lycée mais montrer qu’il en faudrait encore plus pour commencer à en tirer des conclusions et que l’expérimentation doit être reproductible. Il faudrait collecter des données pour différentes années, différentes villes, différentes maternités, etc.</w:t>
      </w:r>
      <w:r>
        <w:rPr>
          <w:rStyle w:val="Appelnotedebasdep"/>
          <w:iCs w:val="0"/>
        </w:rPr>
        <w:footnoteReference w:id="2"/>
      </w:r>
      <w:r>
        <w:rPr>
          <w:iCs w:val="0"/>
        </w:rPr>
        <w:t> </w:t>
      </w:r>
    </w:p>
    <w:p w14:paraId="7B5DA45B" w14:textId="77777777" w:rsidR="002B4485" w:rsidRDefault="002B4485" w:rsidP="002B4485">
      <w:pPr>
        <w:rPr>
          <w:iCs w:val="0"/>
        </w:rPr>
      </w:pPr>
      <w:r>
        <w:t xml:space="preserve">L'Institut national de la statistique et des études économiques (INSEE) a collecté le nombre de naissances en France entre 1968 et 2013. Dans cette période, plus de 35 millions d’accouchements ont été recensés. </w:t>
      </w:r>
      <w:r>
        <w:rPr>
          <w:iCs w:val="0"/>
        </w:rPr>
        <w:t xml:space="preserve">Le </w:t>
      </w:r>
      <w:hyperlink r:id="rId7" w:history="1">
        <w:r w:rsidRPr="0076102E">
          <w:rPr>
            <w:rStyle w:val="Lienhypertexte"/>
            <w:iCs w:val="0"/>
          </w:rPr>
          <w:t>fichier Excel®</w:t>
        </w:r>
      </w:hyperlink>
      <w:r>
        <w:rPr>
          <w:iCs w:val="0"/>
        </w:rPr>
        <w:t xml:space="preserve"> rassemblant l’intégralité des données est téléchargeable sur le </w:t>
      </w:r>
      <w:r w:rsidRPr="0076102E">
        <w:rPr>
          <w:iCs w:val="0"/>
        </w:rPr>
        <w:t xml:space="preserve">site du </w:t>
      </w:r>
      <w:r w:rsidRPr="0076102E">
        <w:t xml:space="preserve">Comité de Liaison Enseignants et Astronomes </w:t>
      </w:r>
      <w:r w:rsidRPr="0076102E">
        <w:rPr>
          <w:iCs w:val="0"/>
        </w:rPr>
        <w:t>CLEA</w:t>
      </w:r>
      <w:r>
        <w:rPr>
          <w:iCs w:val="0"/>
        </w:rPr>
        <w:t>.</w:t>
      </w:r>
    </w:p>
    <w:p w14:paraId="5277407A" w14:textId="77777777" w:rsidR="002B4485" w:rsidRPr="00AF3B1B" w:rsidRDefault="002B4485" w:rsidP="002B4485">
      <w:pPr>
        <w:pStyle w:val="Titre2"/>
        <w:rPr>
          <w:rFonts w:eastAsiaTheme="minorHAnsi"/>
        </w:rPr>
      </w:pPr>
      <w:r w:rsidRPr="00AF3B1B">
        <w:rPr>
          <w:rFonts w:eastAsiaTheme="minorHAnsi"/>
        </w:rPr>
        <w:t>PARTIE II : Développer son esprit critique face aux données</w:t>
      </w:r>
    </w:p>
    <w:p w14:paraId="43F16741" w14:textId="77777777" w:rsidR="002B4485" w:rsidRDefault="002B4485" w:rsidP="002B4485">
      <w:pPr>
        <w:spacing w:before="120" w:after="120"/>
      </w:pPr>
      <w:r>
        <w:t xml:space="preserve">Le professeur distribue à chaque groupe les </w:t>
      </w:r>
      <w:r>
        <w:rPr>
          <w:b/>
        </w:rPr>
        <w:t>supports</w:t>
      </w:r>
      <w:r w:rsidRPr="00397CA9">
        <w:rPr>
          <w:b/>
        </w:rPr>
        <w:t xml:space="preserve"> </w:t>
      </w:r>
      <w:r>
        <w:rPr>
          <w:b/>
        </w:rPr>
        <w:t>2</w:t>
      </w:r>
      <w:r w:rsidRPr="00064CEB">
        <w:t xml:space="preserve"> et</w:t>
      </w:r>
      <w:r w:rsidRPr="00397CA9">
        <w:rPr>
          <w:b/>
        </w:rPr>
        <w:t xml:space="preserve"> </w:t>
      </w:r>
      <w:r>
        <w:rPr>
          <w:b/>
        </w:rPr>
        <w:t>3</w:t>
      </w:r>
      <w:r>
        <w:t xml:space="preserve"> en précisant qu’elles proviennent d’une étude du CLEA s’appuyant sur les données de l’INSEE</w:t>
      </w:r>
      <w:r w:rsidRPr="00A64F1D">
        <w:rPr>
          <w:rStyle w:val="Appelnotedebasdep"/>
        </w:rPr>
        <w:footnoteReference w:id="3"/>
      </w:r>
      <w:r>
        <w:t>.</w:t>
      </w:r>
    </w:p>
    <w:p w14:paraId="1F1307C6" w14:textId="77777777" w:rsidR="002B4485" w:rsidRDefault="002B4485" w:rsidP="002B4485">
      <w:pPr>
        <w:spacing w:before="120" w:after="120"/>
      </w:pPr>
      <w:r>
        <w:t xml:space="preserve">Chaque groupe doit alors répondre aux questions suivantes : </w:t>
      </w:r>
    </w:p>
    <w:p w14:paraId="381E04A2" w14:textId="77777777"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lastRenderedPageBreak/>
        <w:t>Observer et interpréter ces deux graphiques sachant que les mêmes données sont utilisées à chaque fois.</w:t>
      </w:r>
    </w:p>
    <w:p w14:paraId="72A47C30" w14:textId="77777777" w:rsidR="002B4485" w:rsidRDefault="002B4485" w:rsidP="002B4485">
      <w:pPr>
        <w:spacing w:beforeLines="160" w:before="384" w:beforeAutospacing="0" w:afterLines="160" w:after="384" w:afterAutospacing="0"/>
        <w:rPr>
          <w:rFonts w:eastAsiaTheme="minorHAnsi"/>
        </w:rPr>
      </w:pPr>
      <w:r>
        <w:rPr>
          <w:rFonts w:eastAsiaTheme="minorHAnsi"/>
        </w:rPr>
        <w:t>Les élèves sont amenés à conclure :</w:t>
      </w:r>
    </w:p>
    <w:p w14:paraId="2B3D2644" w14:textId="77777777" w:rsidR="002B4485" w:rsidRDefault="002B4485" w:rsidP="002B4485">
      <w:pPr>
        <w:spacing w:beforeLines="160" w:before="384" w:beforeAutospacing="0" w:afterLines="160" w:after="384" w:afterAutospacing="0"/>
        <w:rPr>
          <w:rFonts w:eastAsiaTheme="minorHAnsi"/>
        </w:rPr>
      </w:pPr>
      <w:r>
        <w:rPr>
          <w:rFonts w:eastAsiaTheme="minorHAnsi"/>
        </w:rPr>
        <w:t>- que les deux graphiques ne fournissent pas la même information ; en effet, on peut observer une légère « bosse », deux jours après la Pleine Lune sur le premier graphique alors qu’elle est observée le jour de la Pleine Lune sur le deuxième graphique ;</w:t>
      </w:r>
    </w:p>
    <w:p w14:paraId="63F1B6AC" w14:textId="77777777" w:rsidR="002B4485" w:rsidRDefault="002B4485" w:rsidP="002B4485">
      <w:pPr>
        <w:spacing w:beforeLines="160" w:before="384" w:beforeAutospacing="0" w:afterLines="160" w:after="384" w:afterAutospacing="0"/>
        <w:rPr>
          <w:rFonts w:eastAsiaTheme="minorHAnsi"/>
        </w:rPr>
      </w:pPr>
      <w:r>
        <w:rPr>
          <w:rFonts w:eastAsiaTheme="minorHAnsi"/>
        </w:rPr>
        <w:t>- que la « bosse » ne semble pas significative au regard du nombre total de naissances ;</w:t>
      </w:r>
    </w:p>
    <w:p w14:paraId="4AF9D89F" w14:textId="77777777" w:rsidR="002B4485" w:rsidRDefault="002B4485" w:rsidP="002B4485">
      <w:pPr>
        <w:spacing w:beforeLines="160" w:before="384" w:beforeAutospacing="0" w:afterLines="160" w:after="384" w:afterAutospacing="0"/>
        <w:rPr>
          <w:rFonts w:eastAsiaTheme="minorHAnsi"/>
        </w:rPr>
      </w:pPr>
      <w:r>
        <w:rPr>
          <w:rFonts w:eastAsiaTheme="minorHAnsi"/>
        </w:rPr>
        <w:t xml:space="preserve">- que globalement, la variation entre les jours de lunaison est faible et qu’il semble assez « naturel » de conclure que la Lune n’a pas d’influence notable sur le nombre d’accouchements. </w:t>
      </w:r>
    </w:p>
    <w:p w14:paraId="6DF83A6E" w14:textId="77777777" w:rsidR="002B4485" w:rsidRPr="00064CEB" w:rsidRDefault="002B4485" w:rsidP="002B4485">
      <w:pPr>
        <w:spacing w:beforeLines="160" w:before="384" w:beforeAutospacing="0" w:afterLines="160" w:after="384" w:afterAutospacing="0"/>
        <w:rPr>
          <w:rFonts w:eastAsiaTheme="minorHAnsi"/>
        </w:rPr>
      </w:pPr>
      <w:r>
        <w:rPr>
          <w:rFonts w:eastAsiaTheme="minorHAnsi"/>
        </w:rPr>
        <w:t xml:space="preserve">Si les élèves ont des difficultés à analyser les graphiques, les questions 2. </w:t>
      </w:r>
      <w:proofErr w:type="gramStart"/>
      <w:r>
        <w:rPr>
          <w:rFonts w:eastAsiaTheme="minorHAnsi"/>
        </w:rPr>
        <w:t>et</w:t>
      </w:r>
      <w:proofErr w:type="gramEnd"/>
      <w:r>
        <w:rPr>
          <w:rFonts w:eastAsiaTheme="minorHAnsi"/>
        </w:rPr>
        <w:t xml:space="preserve"> 3. peuvent leur être posées :</w:t>
      </w:r>
    </w:p>
    <w:p w14:paraId="66E672AA" w14:textId="77777777"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Analyser et expliquer le rôle de l’échelle des ordonnées sur l’impression visuelle que fournit chaque graphique.</w:t>
      </w:r>
    </w:p>
    <w:p w14:paraId="31C9C265" w14:textId="77777777"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 xml:space="preserve">Discuter la fiabilité des sources des deux graphiques présents dans les </w:t>
      </w:r>
      <w:r>
        <w:rPr>
          <w:rFonts w:eastAsiaTheme="minorHAnsi"/>
          <w:b/>
        </w:rPr>
        <w:t>support</w:t>
      </w:r>
      <w:r w:rsidRPr="008C10C2">
        <w:rPr>
          <w:rFonts w:eastAsiaTheme="minorHAnsi"/>
          <w:b/>
        </w:rPr>
        <w:t>s 2 et 3</w:t>
      </w:r>
      <w:r>
        <w:rPr>
          <w:rFonts w:eastAsiaTheme="minorHAnsi"/>
        </w:rPr>
        <w:t>.</w:t>
      </w:r>
    </w:p>
    <w:p w14:paraId="24335FFB" w14:textId="77777777" w:rsidR="002B4485" w:rsidRDefault="002B4485" w:rsidP="002B4485">
      <w:pPr>
        <w:spacing w:beforeLines="160" w:before="384" w:beforeAutospacing="0" w:afterLines="160" w:after="384" w:afterAutospacing="0"/>
        <w:rPr>
          <w:rFonts w:eastAsiaTheme="minorHAnsi"/>
        </w:rPr>
      </w:pPr>
      <w:r>
        <w:rPr>
          <w:rFonts w:eastAsiaTheme="minorHAnsi"/>
        </w:rPr>
        <w:t xml:space="preserve">Le professeur distribue les </w:t>
      </w:r>
      <w:r>
        <w:rPr>
          <w:rFonts w:eastAsiaTheme="minorHAnsi"/>
          <w:b/>
        </w:rPr>
        <w:t>support</w:t>
      </w:r>
      <w:r w:rsidRPr="009216B2">
        <w:rPr>
          <w:rFonts w:eastAsiaTheme="minorHAnsi"/>
          <w:b/>
        </w:rPr>
        <w:t xml:space="preserve">s </w:t>
      </w:r>
      <w:r>
        <w:rPr>
          <w:rFonts w:eastAsiaTheme="minorHAnsi"/>
          <w:b/>
        </w:rPr>
        <w:t>4 et 9</w:t>
      </w:r>
      <w:r>
        <w:rPr>
          <w:rFonts w:eastAsiaTheme="minorHAnsi"/>
        </w:rPr>
        <w:t xml:space="preserve"> et pose la question aux élèves : </w:t>
      </w:r>
    </w:p>
    <w:p w14:paraId="61F5D801" w14:textId="77777777"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 xml:space="preserve">À l’aide des graphiques des </w:t>
      </w:r>
      <w:r>
        <w:rPr>
          <w:rFonts w:eastAsiaTheme="minorHAnsi"/>
          <w:b/>
          <w:bCs/>
        </w:rPr>
        <w:t>supports</w:t>
      </w:r>
      <w:r w:rsidRPr="00C57337">
        <w:rPr>
          <w:rFonts w:eastAsiaTheme="minorHAnsi"/>
          <w:b/>
          <w:bCs/>
        </w:rPr>
        <w:t xml:space="preserve"> </w:t>
      </w:r>
      <w:r>
        <w:rPr>
          <w:rFonts w:eastAsiaTheme="minorHAnsi"/>
          <w:b/>
          <w:bCs/>
        </w:rPr>
        <w:t>4</w:t>
      </w:r>
      <w:r w:rsidRPr="00C57337">
        <w:rPr>
          <w:rFonts w:eastAsiaTheme="minorHAnsi"/>
          <w:b/>
          <w:bCs/>
        </w:rPr>
        <w:t xml:space="preserve"> </w:t>
      </w:r>
      <w:r>
        <w:rPr>
          <w:rFonts w:eastAsiaTheme="minorHAnsi"/>
          <w:b/>
          <w:bCs/>
        </w:rPr>
        <w:t>et 9</w:t>
      </w:r>
      <w:r>
        <w:rPr>
          <w:rFonts w:eastAsiaTheme="minorHAnsi"/>
          <w:bCs/>
        </w:rPr>
        <w:t>,</w:t>
      </w:r>
      <w:r>
        <w:rPr>
          <w:rFonts w:eastAsiaTheme="minorHAnsi"/>
        </w:rPr>
        <w:t xml:space="preserve"> discuter du lien entre les variables présentées : nombre de naissances et jours de lunaison.</w:t>
      </w:r>
    </w:p>
    <w:p w14:paraId="2F6C8491" w14:textId="77777777" w:rsidR="002B4485" w:rsidRDefault="002B4485" w:rsidP="002B4485">
      <w:pPr>
        <w:spacing w:beforeLines="160" w:before="384" w:beforeAutospacing="0" w:afterLines="160" w:after="384" w:afterAutospacing="0"/>
        <w:rPr>
          <w:rFonts w:eastAsiaTheme="minorHAnsi"/>
        </w:rPr>
      </w:pPr>
      <w:r>
        <w:rPr>
          <w:rFonts w:eastAsiaTheme="minorHAnsi"/>
        </w:rPr>
        <w:t>L’objectif est de discuter avec les élèves à propos du biais de cadrage</w:t>
      </w:r>
      <w:r>
        <w:rPr>
          <w:rStyle w:val="Appelnotedebasdep"/>
          <w:rFonts w:eastAsiaTheme="minorHAnsi"/>
        </w:rPr>
        <w:footnoteReference w:id="4"/>
      </w:r>
      <w:r>
        <w:rPr>
          <w:rFonts w:eastAsiaTheme="minorHAnsi"/>
        </w:rPr>
        <w:t xml:space="preserve"> et de les amener à conclure que finalement, le nombre de naissances les jours de Pleine Lune semble significativement plus élevé qu’un autre jour de lunaison. </w:t>
      </w:r>
    </w:p>
    <w:p w14:paraId="71267F39" w14:textId="7C1BD4D4" w:rsidR="002B4485" w:rsidRPr="009216B2" w:rsidRDefault="002B4485" w:rsidP="002B4485">
      <w:pPr>
        <w:spacing w:beforeLines="160" w:before="384" w:beforeAutospacing="0" w:afterLines="160" w:after="384" w:afterAutospacing="0"/>
        <w:rPr>
          <w:rFonts w:eastAsiaTheme="minorHAnsi"/>
        </w:rPr>
      </w:pPr>
      <w:r>
        <w:rPr>
          <w:rFonts w:eastAsiaTheme="minorHAnsi"/>
        </w:rPr>
        <w:lastRenderedPageBreak/>
        <w:t>Le professeur peut distribuer</w:t>
      </w:r>
      <w:r>
        <w:rPr>
          <w:rStyle w:val="Appelnotedebasdep"/>
          <w:rFonts w:eastAsiaTheme="minorHAnsi"/>
        </w:rPr>
        <w:footnoteReference w:id="5"/>
      </w:r>
      <w:r>
        <w:rPr>
          <w:rFonts w:eastAsiaTheme="minorHAnsi"/>
        </w:rPr>
        <w:t xml:space="preserve"> ensuite le </w:t>
      </w:r>
      <w:r w:rsidRPr="005C08A0">
        <w:rPr>
          <w:rFonts w:eastAsiaTheme="minorHAnsi"/>
          <w:b/>
          <w:bCs/>
        </w:rPr>
        <w:t>support 5</w:t>
      </w:r>
      <w:r>
        <w:rPr>
          <w:rFonts w:eastAsiaTheme="minorHAnsi"/>
        </w:rPr>
        <w:t> qui analyse plus finement la courbe d</w:t>
      </w:r>
      <w:r>
        <w:rPr>
          <w:rFonts w:eastAsiaTheme="minorHAnsi"/>
        </w:rPr>
        <w:t>u</w:t>
      </w:r>
      <w:r>
        <w:rPr>
          <w:rFonts w:eastAsiaTheme="minorHAnsi"/>
        </w:rPr>
        <w:t xml:space="preserve"> </w:t>
      </w:r>
      <w:r w:rsidRPr="005C08A0">
        <w:rPr>
          <w:rFonts w:eastAsiaTheme="minorHAnsi"/>
          <w:b/>
          <w:bCs/>
        </w:rPr>
        <w:t>support 3</w:t>
      </w:r>
      <w:r>
        <w:rPr>
          <w:rFonts w:eastAsiaTheme="minorHAnsi"/>
        </w:rPr>
        <w:t>, en introduisant la notion d’écart-type.</w:t>
      </w:r>
    </w:p>
    <w:p w14:paraId="6CEB91A9" w14:textId="77777777" w:rsidR="002B4485" w:rsidRDefault="002B4485" w:rsidP="002B4485">
      <w:pPr>
        <w:spacing w:beforeLines="160" w:before="384" w:beforeAutospacing="0" w:afterLines="160" w:after="384" w:afterAutospacing="0"/>
        <w:rPr>
          <w:rFonts w:eastAsiaTheme="minorHAnsi"/>
        </w:rPr>
      </w:pPr>
      <w:r>
        <w:rPr>
          <w:rFonts w:eastAsiaTheme="minorHAnsi"/>
        </w:rPr>
        <w:t>L’objectif est de montrer que, grâce à l’écart-type, il est possible d’analyser les données de manière plus précise et objective : l’écart à la moyenne observé est quantifié et permet de conclure à une réelle « anomalie » statistique concernant le nombre de naissances lors de la Pleine Lune.</w:t>
      </w:r>
    </w:p>
    <w:p w14:paraId="243FE639" w14:textId="77777777" w:rsidR="002B4485" w:rsidRPr="00A96DC4" w:rsidRDefault="002B4485" w:rsidP="002B4485">
      <w:pPr>
        <w:spacing w:beforeLines="160" w:before="384" w:beforeAutospacing="0" w:afterLines="160" w:after="384" w:afterAutospacing="0"/>
        <w:rPr>
          <w:rFonts w:eastAsiaTheme="minorHAnsi"/>
        </w:rPr>
      </w:pPr>
      <w:r>
        <w:rPr>
          <w:rFonts w:eastAsiaTheme="minorHAnsi"/>
        </w:rPr>
        <w:t xml:space="preserve">Puis le professeur distribue le </w:t>
      </w:r>
      <w:r w:rsidRPr="005C08A0">
        <w:rPr>
          <w:rFonts w:eastAsiaTheme="minorHAnsi"/>
          <w:b/>
          <w:bCs/>
        </w:rPr>
        <w:t xml:space="preserve">support </w:t>
      </w:r>
      <w:r w:rsidRPr="00A96DC4">
        <w:rPr>
          <w:rFonts w:eastAsiaTheme="minorHAnsi"/>
          <w:b/>
        </w:rPr>
        <w:t>6</w:t>
      </w:r>
      <w:r>
        <w:rPr>
          <w:rFonts w:eastAsiaTheme="minorHAnsi"/>
        </w:rPr>
        <w:t xml:space="preserve"> et pose la question :</w:t>
      </w:r>
    </w:p>
    <w:p w14:paraId="426FECDA" w14:textId="22EB6678"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 xml:space="preserve">À l’aide </w:t>
      </w:r>
      <w:r>
        <w:rPr>
          <w:rFonts w:eastAsiaTheme="minorHAnsi"/>
        </w:rPr>
        <w:t>du</w:t>
      </w:r>
      <w:r>
        <w:rPr>
          <w:rFonts w:eastAsiaTheme="minorHAnsi"/>
        </w:rPr>
        <w:t xml:space="preserve"> </w:t>
      </w:r>
      <w:r w:rsidRPr="005C08A0">
        <w:rPr>
          <w:rFonts w:eastAsiaTheme="minorHAnsi"/>
          <w:b/>
          <w:bCs/>
        </w:rPr>
        <w:t>support</w:t>
      </w:r>
      <w:r w:rsidRPr="00C57337">
        <w:rPr>
          <w:rFonts w:eastAsiaTheme="minorHAnsi"/>
          <w:b/>
          <w:bCs/>
        </w:rPr>
        <w:t xml:space="preserve"> 6</w:t>
      </w:r>
      <w:r>
        <w:rPr>
          <w:rFonts w:eastAsiaTheme="minorHAnsi"/>
        </w:rPr>
        <w:t>, expliquer en quoi ce lien de corrélation entre les deux variables (Pleine Lune et pic de naissances) n’est pas forcément la preuve d’un lien de causalité.</w:t>
      </w:r>
    </w:p>
    <w:p w14:paraId="5ADE405C" w14:textId="77777777" w:rsidR="002B4485" w:rsidRDefault="002B4485" w:rsidP="002B4485">
      <w:pPr>
        <w:spacing w:beforeLines="160" w:before="384" w:beforeAutospacing="0" w:afterLines="160" w:after="384" w:afterAutospacing="0"/>
        <w:rPr>
          <w:rFonts w:eastAsiaTheme="minorHAnsi"/>
        </w:rPr>
      </w:pPr>
      <w:r>
        <w:rPr>
          <w:rFonts w:eastAsiaTheme="minorHAnsi"/>
        </w:rPr>
        <w:t xml:space="preserve">Le professeur explique que l’on va revenir sur le </w:t>
      </w:r>
      <w:r w:rsidRPr="005C08A0">
        <w:rPr>
          <w:rFonts w:eastAsiaTheme="minorHAnsi"/>
          <w:b/>
          <w:bCs/>
        </w:rPr>
        <w:t xml:space="preserve">support </w:t>
      </w:r>
      <w:r w:rsidRPr="00C95472">
        <w:rPr>
          <w:rFonts w:eastAsiaTheme="minorHAnsi"/>
          <w:b/>
        </w:rPr>
        <w:t>4</w:t>
      </w:r>
      <w:r>
        <w:rPr>
          <w:rFonts w:eastAsiaTheme="minorHAnsi"/>
        </w:rPr>
        <w:t xml:space="preserve"> afin d’étudier le nombre de naissances supplémentaires observées les jours de pleine lune.</w:t>
      </w:r>
    </w:p>
    <w:p w14:paraId="1B57E91C" w14:textId="77777777"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 xml:space="preserve">À l’aide du </w:t>
      </w:r>
      <w:r w:rsidRPr="005C08A0">
        <w:rPr>
          <w:rFonts w:eastAsiaTheme="minorHAnsi"/>
          <w:b/>
          <w:bCs/>
        </w:rPr>
        <w:t>support</w:t>
      </w:r>
      <w:r w:rsidRPr="00964CFD">
        <w:rPr>
          <w:rFonts w:eastAsiaTheme="minorHAnsi"/>
          <w:b/>
          <w:bCs/>
        </w:rPr>
        <w:t xml:space="preserve"> </w:t>
      </w:r>
      <w:r>
        <w:rPr>
          <w:rFonts w:eastAsiaTheme="minorHAnsi"/>
          <w:b/>
          <w:bCs/>
        </w:rPr>
        <w:t>4</w:t>
      </w:r>
      <w:r>
        <w:rPr>
          <w:rFonts w:eastAsiaTheme="minorHAnsi"/>
          <w:bCs/>
        </w:rPr>
        <w:t>,</w:t>
      </w:r>
      <w:r>
        <w:rPr>
          <w:rFonts w:eastAsiaTheme="minorHAnsi"/>
        </w:rPr>
        <w:t xml:space="preserve"> calculer le nombre de naissances supplémentaires survenant les soirs de pleine lune par rapport à la moyenne, puis calculer cet excès ramené à une seule année.</w:t>
      </w:r>
    </w:p>
    <w:p w14:paraId="169688ED" w14:textId="77777777"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t>Calculer le nombre de naissances supplémentaires qui auraient dû être observées dans chaque maternité</w:t>
      </w:r>
      <w:r w:rsidRPr="00ED4D90">
        <w:t xml:space="preserve"> </w:t>
      </w:r>
      <w:r>
        <w:t>sur une année, les soirs de pleine lune, sachant qu'en moyenne, environ 800 maternités étaient présentes en France pendant la période où les données ont été récoltées.</w:t>
      </w:r>
    </w:p>
    <w:p w14:paraId="280FB6F4" w14:textId="77777777"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Conclure quant à la possibilité d’observer réellement cette augmentation dans une maternité, un soir de pleine lune.</w:t>
      </w:r>
    </w:p>
    <w:p w14:paraId="7DEA73B9" w14:textId="77777777"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 xml:space="preserve">À l’aide des </w:t>
      </w:r>
      <w:r>
        <w:rPr>
          <w:rFonts w:eastAsiaTheme="minorHAnsi"/>
          <w:b/>
        </w:rPr>
        <w:t>supports</w:t>
      </w:r>
      <w:r w:rsidRPr="00ED4D90">
        <w:rPr>
          <w:rFonts w:eastAsiaTheme="minorHAnsi"/>
          <w:b/>
        </w:rPr>
        <w:t xml:space="preserve"> 7</w:t>
      </w:r>
      <w:r>
        <w:rPr>
          <w:rFonts w:eastAsiaTheme="minorHAnsi"/>
        </w:rPr>
        <w:t xml:space="preserve"> et </w:t>
      </w:r>
      <w:r w:rsidRPr="00ED4D90">
        <w:rPr>
          <w:rFonts w:eastAsiaTheme="minorHAnsi"/>
          <w:b/>
        </w:rPr>
        <w:t>8</w:t>
      </w:r>
      <w:r>
        <w:rPr>
          <w:rFonts w:eastAsiaTheme="minorHAnsi"/>
        </w:rPr>
        <w:t>, expliquer pourquoi la croyance d’un effet de la Pleine Lune sur le nombre d’accouchements continue d’être diffusée malgré l’absence de preuves établissant la réalité de ce phénomène.</w:t>
      </w:r>
    </w:p>
    <w:p w14:paraId="26666C2E" w14:textId="77777777" w:rsidR="002B4485" w:rsidRDefault="002B4485" w:rsidP="002B4485">
      <w:pPr>
        <w:pStyle w:val="Paragraphedeliste"/>
        <w:numPr>
          <w:ilvl w:val="0"/>
          <w:numId w:val="3"/>
        </w:numPr>
        <w:spacing w:beforeLines="160" w:before="384" w:beforeAutospacing="0" w:afterLines="160" w:after="384" w:afterAutospacing="0"/>
        <w:contextualSpacing w:val="0"/>
        <w:rPr>
          <w:rFonts w:eastAsiaTheme="minorHAnsi"/>
        </w:rPr>
      </w:pPr>
      <w:r>
        <w:rPr>
          <w:rFonts w:eastAsiaTheme="minorHAnsi"/>
        </w:rPr>
        <w:t>À l’aide du support</w:t>
      </w:r>
      <w:r w:rsidRPr="00A96DC4">
        <w:rPr>
          <w:rFonts w:eastAsiaTheme="minorHAnsi"/>
          <w:b/>
        </w:rPr>
        <w:t xml:space="preserve"> </w:t>
      </w:r>
      <w:r>
        <w:rPr>
          <w:rFonts w:eastAsiaTheme="minorHAnsi"/>
          <w:b/>
        </w:rPr>
        <w:t>9</w:t>
      </w:r>
      <w:r>
        <w:rPr>
          <w:rFonts w:eastAsiaTheme="minorHAnsi"/>
        </w:rPr>
        <w:t>, analyser comment le niveau de preuve a été renforcé au cours de cette activité, en retraçant le raisonnement conduit.</w:t>
      </w:r>
    </w:p>
    <w:p w14:paraId="1EA2B861" w14:textId="77777777" w:rsidR="002B4485" w:rsidRDefault="002B4485" w:rsidP="002B4485">
      <w:pPr>
        <w:pStyle w:val="Titre1"/>
      </w:pPr>
      <w:r>
        <w:lastRenderedPageBreak/>
        <w:t>Supports</w:t>
      </w:r>
    </w:p>
    <w:p w14:paraId="638813E3" w14:textId="77777777" w:rsidR="002B4485" w:rsidRDefault="002B4485" w:rsidP="002B4485">
      <w:pPr>
        <w:pStyle w:val="Titre3"/>
        <w:rPr>
          <w:rStyle w:val="Titre2Car"/>
        </w:rPr>
      </w:pPr>
      <w:r>
        <w:rPr>
          <w:rStyle w:val="Titre2Car"/>
        </w:rPr>
        <w:t>Support</w:t>
      </w:r>
      <w:r w:rsidRPr="006A1F37">
        <w:rPr>
          <w:rStyle w:val="Titre2Car"/>
        </w:rPr>
        <w:t xml:space="preserve"> 1</w:t>
      </w:r>
      <w:r>
        <w:rPr>
          <w:rStyle w:val="Titre2Car"/>
        </w:rPr>
        <w:t xml:space="preserve">. Extrait de </w:t>
      </w:r>
      <w:r w:rsidRPr="005D3248">
        <w:rPr>
          <w:rStyle w:val="Titre2Car"/>
        </w:rPr>
        <w:t>témoignage</w:t>
      </w:r>
      <w:r>
        <w:rPr>
          <w:rStyle w:val="Titre2Car"/>
        </w:rPr>
        <w:t xml:space="preserve"> de </w:t>
      </w:r>
      <w:proofErr w:type="spellStart"/>
      <w:r>
        <w:rPr>
          <w:rStyle w:val="Titre2Car"/>
        </w:rPr>
        <w:t>sage-femme</w:t>
      </w:r>
      <w:proofErr w:type="spellEnd"/>
      <w:r>
        <w:rPr>
          <w:rStyle w:val="Titre2Car"/>
        </w:rPr>
        <w:t>.</w:t>
      </w:r>
    </w:p>
    <w:p w14:paraId="766FE392" w14:textId="77777777" w:rsidR="002B4485" w:rsidRDefault="002B4485" w:rsidP="002B4485">
      <w:r>
        <w:t xml:space="preserve">Un </w:t>
      </w:r>
      <w:r w:rsidRPr="00AD275A">
        <w:rPr>
          <w:b/>
        </w:rPr>
        <w:t xml:space="preserve">témoignage d’une </w:t>
      </w:r>
      <w:proofErr w:type="spellStart"/>
      <w:r w:rsidRPr="00AD275A">
        <w:rPr>
          <w:b/>
        </w:rPr>
        <w:t>sage-femme</w:t>
      </w:r>
      <w:proofErr w:type="spellEnd"/>
      <w:r>
        <w:t xml:space="preserve"> explique pourquoi elle pense que la Lune a une influence sur les naissances. </w:t>
      </w:r>
    </w:p>
    <w:p w14:paraId="3D7A5EC3" w14:textId="77777777" w:rsidR="002B4485" w:rsidRDefault="002B4485" w:rsidP="002B4485">
      <w:pPr>
        <w:rPr>
          <w:rStyle w:val="Titre2Car"/>
          <w:iCs w:val="0"/>
          <w:sz w:val="22"/>
          <w:szCs w:val="22"/>
        </w:rPr>
      </w:pPr>
      <w:r>
        <w:t>« En surveillant des milliers d’accouchements et leur survenue par rapport aux changements des phases lunaires, mes dix d’expérience m’amène à conclure</w:t>
      </w:r>
      <w:r w:rsidRPr="0061222B">
        <w:t xml:space="preserve"> </w:t>
      </w:r>
      <w:r>
        <w:t xml:space="preserve">que la Lune influence le moment de l’accouchement. Le retentissement des phases lunaires sur les marées est parfaitement reconnu. Voici ses constatations et explications. Le corps humain d’un adulte est composé de plus de 65 % d’eau. C’est pour cela que la Lune a son influence sur lui, de la même manière qu’elle impacte la montée et la descente des océans. Les études ne manquent pas et plusieurs d’entre elles ont réussi à mettre un lien entre la phase lunaire et le caractère d’une personne. » </w:t>
      </w:r>
    </w:p>
    <w:p w14:paraId="1A922919" w14:textId="77777777" w:rsidR="002B4485" w:rsidRDefault="002B4485" w:rsidP="002B4485">
      <w:pPr>
        <w:pStyle w:val="Titre3"/>
        <w:spacing w:before="0" w:beforeAutospacing="0"/>
        <w:rPr>
          <w:rStyle w:val="Titre2Car"/>
        </w:rPr>
      </w:pPr>
      <w:r>
        <w:rPr>
          <w:rStyle w:val="Titre2Car"/>
        </w:rPr>
        <w:t>Support 2.</w:t>
      </w:r>
      <w:r w:rsidRPr="008A2747">
        <w:rPr>
          <w:rStyle w:val="Titre2Car"/>
        </w:rPr>
        <w:t xml:space="preserve"> </w:t>
      </w:r>
      <w:r>
        <w:rPr>
          <w:rStyle w:val="Titre2Car"/>
        </w:rPr>
        <w:t xml:space="preserve">Nombre de naissances et jours de lunaison (a) </w:t>
      </w:r>
    </w:p>
    <w:p w14:paraId="743F57C8" w14:textId="77777777" w:rsidR="002B4485" w:rsidRDefault="002B4485" w:rsidP="002B4485">
      <w:r>
        <w:t>Ce graphique indique le nombre de naissances cumulées en France sur 46 ans (1968-2013) par jour de lunaison (0 = pleine lune). Réalisé à partir de l’étude du c</w:t>
      </w:r>
      <w:r w:rsidRPr="005D3248">
        <w:t xml:space="preserve">omité de </w:t>
      </w:r>
      <w:r>
        <w:t>l</w:t>
      </w:r>
      <w:r w:rsidRPr="005D3248">
        <w:t xml:space="preserve">iaison </w:t>
      </w:r>
      <w:r>
        <w:t>e</w:t>
      </w:r>
      <w:r w:rsidRPr="005D3248">
        <w:t xml:space="preserve">nseignants et </w:t>
      </w:r>
      <w:r>
        <w:t>a</w:t>
      </w:r>
      <w:r w:rsidRPr="005D3248">
        <w:t xml:space="preserve">stronomes </w:t>
      </w:r>
      <w:r>
        <w:t>(CLEA).</w:t>
      </w:r>
    </w:p>
    <w:p w14:paraId="3D177A3C" w14:textId="77777777" w:rsidR="002B4485" w:rsidRDefault="002B4485" w:rsidP="002B4485">
      <w:pPr>
        <w:shd w:val="clear" w:color="auto" w:fill="auto"/>
      </w:pPr>
      <w:r>
        <w:rPr>
          <w:noProof/>
        </w:rPr>
        <w:drawing>
          <wp:inline distT="0" distB="0" distL="0" distR="0" wp14:anchorId="028BEC02" wp14:editId="4CE9B7C8">
            <wp:extent cx="5914767" cy="2230958"/>
            <wp:effectExtent l="0" t="0" r="0" b="0"/>
            <wp:docPr id="10" name="Image 10" descr="pleine l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eine lune"/>
                    <pic:cNvPicPr>
                      <a:picLocks noChangeAspect="1" noChangeArrowheads="1"/>
                    </pic:cNvPicPr>
                  </pic:nvPicPr>
                  <pic:blipFill rotWithShape="1">
                    <a:blip r:embed="rId8">
                      <a:extLst>
                        <a:ext uri="{28A0092B-C50C-407E-A947-70E740481C1C}">
                          <a14:useLocalDpi xmlns:a14="http://schemas.microsoft.com/office/drawing/2010/main" val="0"/>
                        </a:ext>
                      </a:extLst>
                    </a:blip>
                    <a:srcRect b="10990"/>
                    <a:stretch/>
                  </pic:blipFill>
                  <pic:spPr bwMode="auto">
                    <a:xfrm>
                      <a:off x="0" y="0"/>
                      <a:ext cx="5928536" cy="2236151"/>
                    </a:xfrm>
                    <a:prstGeom prst="rect">
                      <a:avLst/>
                    </a:prstGeom>
                    <a:noFill/>
                    <a:ln>
                      <a:noFill/>
                    </a:ln>
                    <a:extLst>
                      <a:ext uri="{53640926-AAD7-44D8-BBD7-CCE9431645EC}">
                        <a14:shadowObscured xmlns:a14="http://schemas.microsoft.com/office/drawing/2010/main"/>
                      </a:ext>
                    </a:extLst>
                  </pic:spPr>
                </pic:pic>
              </a:graphicData>
            </a:graphic>
          </wp:inline>
        </w:drawing>
      </w:r>
    </w:p>
    <w:p w14:paraId="48B91CE6" w14:textId="77777777" w:rsidR="002B4485" w:rsidRDefault="002B4485" w:rsidP="002B4485">
      <w:pPr>
        <w:shd w:val="clear" w:color="auto" w:fill="auto"/>
        <w:spacing w:before="0" w:beforeAutospacing="0"/>
      </w:pPr>
      <w:r>
        <w:t xml:space="preserve">Source : </w:t>
      </w:r>
      <w:hyperlink r:id="rId9" w:history="1">
        <w:r w:rsidRPr="004443F3">
          <w:rPr>
            <w:rStyle w:val="Lienhypertexte"/>
          </w:rPr>
          <w:t>site le</w:t>
        </w:r>
        <w:r>
          <w:rPr>
            <w:rStyle w:val="Lienhypertexte"/>
          </w:rPr>
          <w:t xml:space="preserve"> </w:t>
        </w:r>
        <w:r w:rsidRPr="004443F3">
          <w:rPr>
            <w:rStyle w:val="Lienhypertexte"/>
          </w:rPr>
          <w:t>drenche</w:t>
        </w:r>
      </w:hyperlink>
    </w:p>
    <w:p w14:paraId="009679E0" w14:textId="77777777" w:rsidR="002B4485" w:rsidRDefault="002B4485" w:rsidP="002B4485">
      <w:pPr>
        <w:pStyle w:val="Titre3"/>
        <w:rPr>
          <w:rStyle w:val="Titre2Car"/>
        </w:rPr>
      </w:pPr>
      <w:r>
        <w:rPr>
          <w:rStyle w:val="Titre2Car"/>
        </w:rPr>
        <w:t>Support</w:t>
      </w:r>
      <w:r w:rsidRPr="00731CE0">
        <w:rPr>
          <w:rStyle w:val="Titre2Car"/>
        </w:rPr>
        <w:t xml:space="preserve"> </w:t>
      </w:r>
      <w:r>
        <w:rPr>
          <w:rStyle w:val="Titre2Car"/>
        </w:rPr>
        <w:t>3. Nombres de naissances et jours de lunaison (b)</w:t>
      </w:r>
    </w:p>
    <w:p w14:paraId="27CE4372" w14:textId="77777777" w:rsidR="002B4485" w:rsidRDefault="002B4485" w:rsidP="002B4485">
      <w:r>
        <w:t>Ce graphique indique le nombre de naissances cumulées en France sur 46 ans (1968-2013) par jour de lunaison (0 = pleine lune). Réalisé à partir de l’étude du c</w:t>
      </w:r>
      <w:r w:rsidRPr="005D3248">
        <w:t xml:space="preserve">omité de </w:t>
      </w:r>
      <w:r>
        <w:t>l</w:t>
      </w:r>
      <w:r w:rsidRPr="005D3248">
        <w:t xml:space="preserve">iaison </w:t>
      </w:r>
      <w:r>
        <w:t>e</w:t>
      </w:r>
      <w:r w:rsidRPr="005D3248">
        <w:t xml:space="preserve">nseignants et </w:t>
      </w:r>
      <w:r>
        <w:t>a</w:t>
      </w:r>
      <w:r w:rsidRPr="005D3248">
        <w:t xml:space="preserve">stronomes </w:t>
      </w:r>
      <w:r>
        <w:t>(CLEA).</w:t>
      </w:r>
    </w:p>
    <w:p w14:paraId="2EFE2151" w14:textId="77777777" w:rsidR="002B4485" w:rsidRDefault="002B4485" w:rsidP="002B4485">
      <w:r>
        <w:rPr>
          <w:noProof/>
        </w:rPr>
        <w:lastRenderedPageBreak/>
        <w:drawing>
          <wp:inline distT="0" distB="0" distL="0" distR="0" wp14:anchorId="3D3C5032" wp14:editId="4DDD6528">
            <wp:extent cx="6115050" cy="2862364"/>
            <wp:effectExtent l="0" t="0" r="0" b="0"/>
            <wp:docPr id="11" name="Image 11" descr="https://saf-astronomie.fr/wp-content/uploads/2021/07/Naissances46ans_courb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af-astronomie.fr/wp-content/uploads/2021/07/Naissances46ans_courb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8882" cy="2882881"/>
                    </a:xfrm>
                    <a:prstGeom prst="rect">
                      <a:avLst/>
                    </a:prstGeom>
                    <a:noFill/>
                    <a:ln>
                      <a:noFill/>
                    </a:ln>
                  </pic:spPr>
                </pic:pic>
              </a:graphicData>
            </a:graphic>
          </wp:inline>
        </w:drawing>
      </w:r>
    </w:p>
    <w:p w14:paraId="6650E88B" w14:textId="77777777" w:rsidR="002B4485" w:rsidRDefault="002B4485" w:rsidP="002B4485">
      <w:pPr>
        <w:shd w:val="clear" w:color="auto" w:fill="auto"/>
        <w:spacing w:after="0" w:afterAutospacing="0"/>
        <w:rPr>
          <w:rFonts w:ascii="Times New Roman" w:hAnsi="Times New Roman" w:cs="Times New Roman"/>
          <w:iCs w:val="0"/>
          <w:color w:val="auto"/>
        </w:rPr>
      </w:pPr>
      <w:r>
        <w:t xml:space="preserve">Source : </w:t>
      </w:r>
      <w:hyperlink r:id="rId11" w:history="1">
        <w:r w:rsidRPr="004443F3">
          <w:rPr>
            <w:rStyle w:val="Lienhypertexte"/>
          </w:rPr>
          <w:t xml:space="preserve">site de </w:t>
        </w:r>
        <w:r>
          <w:rPr>
            <w:rStyle w:val="Lienhypertexte"/>
          </w:rPr>
          <w:t>s</w:t>
        </w:r>
        <w:r w:rsidRPr="004443F3">
          <w:rPr>
            <w:rStyle w:val="Lienhypertexte"/>
          </w:rPr>
          <w:t>ociété astronomique de France (SAF)</w:t>
        </w:r>
      </w:hyperlink>
      <w:r>
        <w:t xml:space="preserve"> </w:t>
      </w:r>
    </w:p>
    <w:p w14:paraId="48F602F6" w14:textId="77777777" w:rsidR="002B4485" w:rsidRPr="008A2747" w:rsidRDefault="002B4485" w:rsidP="002B4485">
      <w:pPr>
        <w:pStyle w:val="Titre3"/>
        <w:rPr>
          <w:rStyle w:val="Titre2Car"/>
        </w:rPr>
      </w:pPr>
      <w:r>
        <w:rPr>
          <w:rStyle w:val="Titre2Car"/>
        </w:rPr>
        <w:t>Support 4.</w:t>
      </w:r>
      <w:r w:rsidRPr="008A2747">
        <w:rPr>
          <w:rStyle w:val="Titre2Car"/>
        </w:rPr>
        <w:t xml:space="preserve"> </w:t>
      </w:r>
      <w:r>
        <w:rPr>
          <w:rStyle w:val="Titre2Car"/>
        </w:rPr>
        <w:t xml:space="preserve">Nombre de naissances et jours de lunaison (c) </w:t>
      </w:r>
    </w:p>
    <w:p w14:paraId="20DC6D16" w14:textId="77777777" w:rsidR="002B4485" w:rsidRDefault="002B4485" w:rsidP="002B4485">
      <w:r>
        <w:t>Ce graphique indique le nombre de naissances cumulées en France sur 46 ans (1968-2013) par jour de lunaison (0 = pleine lune). Données tirées de l’étude réalisée par le CLEA.</w:t>
      </w:r>
    </w:p>
    <w:p w14:paraId="4351B70A" w14:textId="77777777" w:rsidR="002B4485" w:rsidRDefault="002B4485" w:rsidP="002B4485">
      <w:r>
        <w:rPr>
          <w:noProof/>
        </w:rPr>
        <w:lastRenderedPageBreak/>
        <w:drawing>
          <wp:inline distT="0" distB="0" distL="0" distR="0" wp14:anchorId="417E84F3" wp14:editId="2DBF3AD1">
            <wp:extent cx="5817235" cy="4362450"/>
            <wp:effectExtent l="0" t="0" r="12065" b="0"/>
            <wp:docPr id="197347366" name="Graphique 1">
              <a:extLst xmlns:a="http://schemas.openxmlformats.org/drawingml/2006/main">
                <a:ext uri="{FF2B5EF4-FFF2-40B4-BE49-F238E27FC236}">
                  <a16:creationId xmlns:a16="http://schemas.microsoft.com/office/drawing/2014/main" id="{5FD84D56-890C-CBF1-76E4-DF8B212F5B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0E7D080" w14:textId="77777777" w:rsidR="002B4485" w:rsidRPr="004443F3" w:rsidRDefault="002B4485" w:rsidP="002B4485">
      <w:pPr>
        <w:rPr>
          <w:rStyle w:val="Titre2Car"/>
          <w:sz w:val="22"/>
          <w:szCs w:val="22"/>
        </w:rPr>
      </w:pPr>
      <w:bookmarkStart w:id="0" w:name="_Hlk180596078"/>
      <w:r w:rsidRPr="004443F3">
        <w:rPr>
          <w:rStyle w:val="Titre2Car"/>
          <w:sz w:val="22"/>
          <w:szCs w:val="22"/>
        </w:rPr>
        <w:t>Source : le site du CLEA</w:t>
      </w:r>
    </w:p>
    <w:bookmarkEnd w:id="0"/>
    <w:p w14:paraId="48369E7C" w14:textId="77777777" w:rsidR="002B4485" w:rsidRDefault="002B4485" w:rsidP="002B4485">
      <w:pPr>
        <w:pStyle w:val="Titre3"/>
        <w:rPr>
          <w:rStyle w:val="Titre2Car"/>
        </w:rPr>
      </w:pPr>
      <w:r>
        <w:rPr>
          <w:rStyle w:val="Titre2Car"/>
        </w:rPr>
        <w:t>Support</w:t>
      </w:r>
      <w:r w:rsidRPr="00C01A1A">
        <w:rPr>
          <w:rStyle w:val="Titre2Car"/>
        </w:rPr>
        <w:t xml:space="preserve"> </w:t>
      </w:r>
      <w:r>
        <w:rPr>
          <w:rStyle w:val="Titre2Car"/>
        </w:rPr>
        <w:t>5</w:t>
      </w:r>
      <w:r w:rsidRPr="00C01A1A">
        <w:rPr>
          <w:rStyle w:val="Titre2Car"/>
        </w:rPr>
        <w:t xml:space="preserve">. </w:t>
      </w:r>
      <w:r>
        <w:rPr>
          <w:rStyle w:val="Titre2Car"/>
        </w:rPr>
        <w:t>Nombre de naissances et jours de lunaison (d)</w:t>
      </w:r>
    </w:p>
    <w:p w14:paraId="726AC8AB" w14:textId="77777777" w:rsidR="002B4485" w:rsidRDefault="002B4485" w:rsidP="002B4485">
      <w:r>
        <w:t>L’écart type mesure la dispersion des valeurs par rapport à la moyenne (valeur moyenne). Tracer le nombre moyen de naissances et les nombres de naissances par jour de lunaison avec des écarts-types autour de cette moyenne permet de visualiser la variabilité des données :</w:t>
      </w:r>
    </w:p>
    <w:p w14:paraId="05A14F38" w14:textId="77777777" w:rsidR="002B4485" w:rsidRPr="00D224D8" w:rsidRDefault="002B4485" w:rsidP="002B4485">
      <w:pPr>
        <w:pStyle w:val="Paragraphedeliste"/>
        <w:numPr>
          <w:ilvl w:val="0"/>
          <w:numId w:val="7"/>
        </w:numPr>
      </w:pPr>
      <w:r w:rsidRPr="00D224D8">
        <w:t>Le nombre moyen de naissances représente la moyenne de toutes les naissances enregistrées sur une période donnée.</w:t>
      </w:r>
    </w:p>
    <w:p w14:paraId="1868DE01" w14:textId="77777777" w:rsidR="002B4485" w:rsidRPr="00D224D8" w:rsidRDefault="002B4485" w:rsidP="002B4485">
      <w:pPr>
        <w:pStyle w:val="Paragraphedeliste"/>
        <w:numPr>
          <w:ilvl w:val="0"/>
          <w:numId w:val="7"/>
        </w:numPr>
      </w:pPr>
      <w:r>
        <w:t xml:space="preserve">Le tracé du </w:t>
      </w:r>
      <w:r w:rsidRPr="00D224D8">
        <w:t xml:space="preserve">nombre moyen de naissances </w:t>
      </w:r>
      <w:r>
        <w:t>+/</w:t>
      </w:r>
      <w:r>
        <w:sym w:font="Symbol" w:char="F02D"/>
      </w:r>
      <w:r w:rsidRPr="00D224D8">
        <w:t xml:space="preserve"> </w:t>
      </w:r>
      <w:r>
        <w:t>1</w:t>
      </w:r>
      <w:r w:rsidRPr="00D224D8">
        <w:t xml:space="preserve"> écart-type permet de </w:t>
      </w:r>
      <w:r>
        <w:t>visualiser</w:t>
      </w:r>
      <w:r w:rsidRPr="00D224D8">
        <w:t xml:space="preserve"> la plage dans laquelle la plupart des données se situent. Environ 68 % des naissances se trouvent dans cette plage autour de la moyenne.</w:t>
      </w:r>
    </w:p>
    <w:p w14:paraId="0A198ADB" w14:textId="77777777" w:rsidR="002B4485" w:rsidRPr="00D224D8" w:rsidRDefault="002B4485" w:rsidP="002B4485">
      <w:pPr>
        <w:pStyle w:val="Paragraphedeliste"/>
        <w:numPr>
          <w:ilvl w:val="0"/>
          <w:numId w:val="7"/>
        </w:numPr>
      </w:pPr>
      <w:r w:rsidRPr="00D224D8">
        <w:t xml:space="preserve">Le tracé du nombre moyen de naissances </w:t>
      </w:r>
      <w:r>
        <w:t>+/</w:t>
      </w:r>
      <w:r>
        <w:sym w:font="Symbol" w:char="F02D"/>
      </w:r>
      <w:r w:rsidRPr="00D224D8">
        <w:t xml:space="preserve"> </w:t>
      </w:r>
      <w:r>
        <w:t>2</w:t>
      </w:r>
      <w:r w:rsidRPr="00D224D8">
        <w:t xml:space="preserve"> écarts-types élargit cette plage et inclut environ 95 % des données. Cela donne une idée plus précise de la dispersion des données.</w:t>
      </w:r>
    </w:p>
    <w:p w14:paraId="10F0B9C5" w14:textId="77777777" w:rsidR="002B4485" w:rsidRDefault="002B4485" w:rsidP="002B4485">
      <w:pPr>
        <w:pStyle w:val="Paragraphedeliste"/>
        <w:numPr>
          <w:ilvl w:val="0"/>
          <w:numId w:val="7"/>
        </w:numPr>
      </w:pPr>
      <w:r>
        <w:t>Le tracé du</w:t>
      </w:r>
      <w:r w:rsidRPr="00D224D8">
        <w:t xml:space="preserve"> nombre moyen de naissances </w:t>
      </w:r>
      <w:r>
        <w:t>+/</w:t>
      </w:r>
      <w:r>
        <w:sym w:font="Symbol" w:char="F02D"/>
      </w:r>
      <w:r w:rsidRPr="00D224D8">
        <w:t xml:space="preserve"> </w:t>
      </w:r>
      <w:r>
        <w:t xml:space="preserve">3 </w:t>
      </w:r>
      <w:r w:rsidRPr="00D224D8">
        <w:t xml:space="preserve">écarts-types représente une plage encore plus large, incluant environ 99,7 % des données. Cela </w:t>
      </w:r>
      <w:r>
        <w:t>permet d’</w:t>
      </w:r>
      <w:r w:rsidRPr="00D224D8">
        <w:t>identifier les valeurs extrêmes qui pourraient être très rares ou inhabituelles.</w:t>
      </w:r>
    </w:p>
    <w:p w14:paraId="7E13759B" w14:textId="77777777" w:rsidR="002B4485" w:rsidRDefault="002B4485" w:rsidP="002B4485">
      <w:r>
        <w:lastRenderedPageBreak/>
        <w:t>Le graphique suivant indique le nombre de naissances cumulées en France sur 46 ans (1968-2013) par jour de lunaison (0 = pleine lune) (données tirées de l’étude réalisée par le CLEA), ainsi que :</w:t>
      </w:r>
    </w:p>
    <w:p w14:paraId="4B93C09B" w14:textId="77777777" w:rsidR="002B4485" w:rsidRDefault="002B4485" w:rsidP="002B4485">
      <w:pPr>
        <w:pStyle w:val="Paragraphedeliste"/>
        <w:numPr>
          <w:ilvl w:val="0"/>
          <w:numId w:val="1"/>
        </w:numPr>
      </w:pPr>
      <w:r>
        <w:t xml:space="preserve">Le nombre moyen de naissances (courbe </w:t>
      </w:r>
      <w:r w:rsidRPr="005D3248">
        <w:rPr>
          <w:color w:val="FF0000"/>
        </w:rPr>
        <w:t>rouge</w:t>
      </w:r>
      <w:r>
        <w:t xml:space="preserve">). </w:t>
      </w:r>
    </w:p>
    <w:p w14:paraId="7E50D98A" w14:textId="77777777" w:rsidR="002B4485" w:rsidRDefault="002B4485" w:rsidP="002B4485">
      <w:pPr>
        <w:pStyle w:val="Paragraphedeliste"/>
        <w:numPr>
          <w:ilvl w:val="0"/>
          <w:numId w:val="1"/>
        </w:numPr>
      </w:pPr>
      <w:r>
        <w:t xml:space="preserve">Le nombre moyen de naissances + ou – 1 écart-type (courbe </w:t>
      </w:r>
      <w:r w:rsidRPr="00550C8B">
        <w:rPr>
          <w:color w:val="00B050"/>
        </w:rPr>
        <w:t>verte</w:t>
      </w:r>
      <w:r>
        <w:t>).</w:t>
      </w:r>
    </w:p>
    <w:p w14:paraId="7EB67E29" w14:textId="77777777" w:rsidR="002B4485" w:rsidRDefault="002B4485" w:rsidP="002B4485">
      <w:pPr>
        <w:pStyle w:val="Paragraphedeliste"/>
        <w:numPr>
          <w:ilvl w:val="0"/>
          <w:numId w:val="1"/>
        </w:numPr>
      </w:pPr>
      <w:r>
        <w:t xml:space="preserve">Le nombre moyen de naissances + ou – 2 écarts-types (courbe </w:t>
      </w:r>
      <w:r w:rsidRPr="00550C8B">
        <w:rPr>
          <w:color w:val="FF00FF"/>
        </w:rPr>
        <w:t>magenta</w:t>
      </w:r>
      <w:r>
        <w:t>).</w:t>
      </w:r>
    </w:p>
    <w:p w14:paraId="3A12F4FD" w14:textId="77777777" w:rsidR="002B4485" w:rsidRDefault="002B4485" w:rsidP="002B4485">
      <w:pPr>
        <w:pStyle w:val="Paragraphedeliste"/>
        <w:numPr>
          <w:ilvl w:val="0"/>
          <w:numId w:val="1"/>
        </w:numPr>
      </w:pPr>
      <w:r>
        <w:t xml:space="preserve">Le nombre moyen de naissances + ou – 3 écarts-types (courbe </w:t>
      </w:r>
      <w:r w:rsidRPr="00550C8B">
        <w:rPr>
          <w:color w:val="FFC000"/>
        </w:rPr>
        <w:t>orange</w:t>
      </w:r>
      <w:r>
        <w:t>).</w:t>
      </w:r>
    </w:p>
    <w:p w14:paraId="044D5EC3" w14:textId="77777777" w:rsidR="002B4485" w:rsidRDefault="002B4485" w:rsidP="002B4485">
      <w:pPr>
        <w:spacing w:before="0" w:beforeAutospacing="0" w:after="0" w:afterAutospacing="0"/>
      </w:pPr>
      <w:r>
        <w:rPr>
          <w:noProof/>
        </w:rPr>
        <w:drawing>
          <wp:inline distT="0" distB="0" distL="0" distR="0" wp14:anchorId="1C4023EB" wp14:editId="63AEA67E">
            <wp:extent cx="6534150" cy="6153150"/>
            <wp:effectExtent l="0" t="0" r="0" b="0"/>
            <wp:docPr id="1" name="Graphique 1">
              <a:extLst xmlns:a="http://schemas.openxmlformats.org/drawingml/2006/main">
                <a:ext uri="{FF2B5EF4-FFF2-40B4-BE49-F238E27FC236}">
                  <a16:creationId xmlns:a16="http://schemas.microsoft.com/office/drawing/2014/main" id="{6F726F29-17A5-4E88-A42D-15ECEF9B90B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73911F1" w14:textId="77777777" w:rsidR="002B4485" w:rsidRDefault="002B4485" w:rsidP="002B4485">
      <w:pPr>
        <w:spacing w:before="0" w:beforeAutospacing="0" w:after="0" w:afterAutospacing="0"/>
      </w:pPr>
    </w:p>
    <w:p w14:paraId="53721FBE" w14:textId="77777777" w:rsidR="002B4485" w:rsidRPr="004443F3" w:rsidRDefault="002B4485" w:rsidP="002B4485">
      <w:pPr>
        <w:rPr>
          <w:iCs w:val="0"/>
          <w:shd w:val="clear" w:color="auto" w:fill="FFFFFF"/>
        </w:rPr>
      </w:pPr>
      <w:r w:rsidRPr="004443F3">
        <w:rPr>
          <w:rStyle w:val="Titre2Car"/>
          <w:sz w:val="22"/>
          <w:szCs w:val="22"/>
        </w:rPr>
        <w:t>Source : le site du CLEA</w:t>
      </w:r>
    </w:p>
    <w:p w14:paraId="5C38AA04" w14:textId="77777777" w:rsidR="002B4485" w:rsidRDefault="002B4485" w:rsidP="002B4485">
      <w:pPr>
        <w:pStyle w:val="Titre3"/>
        <w:rPr>
          <w:rStyle w:val="Titre2Car"/>
        </w:rPr>
      </w:pPr>
      <w:r>
        <w:rPr>
          <w:rStyle w:val="Titre2Car"/>
        </w:rPr>
        <w:lastRenderedPageBreak/>
        <w:t>Support 6. Corrélation n’est pas causalité</w:t>
      </w:r>
    </w:p>
    <w:p w14:paraId="04DF4E2C" w14:textId="77777777" w:rsidR="002B4485" w:rsidRDefault="002B4485" w:rsidP="002B4485">
      <w:r>
        <w:t xml:space="preserve">Une relation de </w:t>
      </w:r>
      <w:r w:rsidRPr="00705F15">
        <w:rPr>
          <w:b/>
        </w:rPr>
        <w:t>corrélation </w:t>
      </w:r>
      <w:r>
        <w:t xml:space="preserve">est un lien statistique observé entre deux variables ou grandeurs : lorsque l’une augmente ou diminue, l’autre varie dans les mêmes proportions. Une relation de </w:t>
      </w:r>
      <w:r w:rsidRPr="00705F15">
        <w:rPr>
          <w:b/>
        </w:rPr>
        <w:t>causalité</w:t>
      </w:r>
      <w:r>
        <w:t xml:space="preserve"> est une relation de cause à effet entre deux grandeurs ou phénomènes. La cause est ce qui </w:t>
      </w:r>
      <w:proofErr w:type="spellStart"/>
      <w:r>
        <w:t>entraîne</w:t>
      </w:r>
      <w:proofErr w:type="spellEnd"/>
      <w:r>
        <w:t xml:space="preserve"> l'évolution, l'action ou le changement de la grandeur étudiée ou du phénomène. </w:t>
      </w:r>
    </w:p>
    <w:p w14:paraId="05C6A4FC" w14:textId="77777777" w:rsidR="002B4485" w:rsidRDefault="002B4485" w:rsidP="002B4485">
      <w:r>
        <w:t>Mais un lien de corrélation ne permet de conclure que deux variables ont vraiment un lien de cause à effet. Par exemple, une corrélation existe entre la consommation de crème glacée à la fraise et le nombre de noyades ; mais on observe aussi que la consommation de cigarettes est corrélée au nombre de morts par cancer du poumon (</w:t>
      </w:r>
      <w:r w:rsidRPr="000B21E4">
        <w:rPr>
          <w:b/>
        </w:rPr>
        <w:t>Figures</w:t>
      </w:r>
      <w:r>
        <w:t xml:space="preserve"> </w:t>
      </w:r>
      <w:r w:rsidRPr="000B21E4">
        <w:rPr>
          <w:b/>
        </w:rPr>
        <w:t>1</w:t>
      </w:r>
      <w:r>
        <w:t xml:space="preserve"> et </w:t>
      </w:r>
      <w:r w:rsidRPr="000B21E4">
        <w:rPr>
          <w:b/>
        </w:rPr>
        <w:t>2</w:t>
      </w:r>
      <w:r>
        <w:t xml:space="preserv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5353"/>
      </w:tblGrid>
      <w:tr w:rsidR="002B4485" w14:paraId="58774C6F" w14:textId="77777777" w:rsidTr="00DC5FD7">
        <w:tc>
          <w:tcPr>
            <w:tcW w:w="5103" w:type="dxa"/>
            <w:tcBorders>
              <w:right w:val="single" w:sz="4" w:space="0" w:color="auto"/>
            </w:tcBorders>
          </w:tcPr>
          <w:p w14:paraId="30B41776" w14:textId="77777777" w:rsidR="002B4485" w:rsidRDefault="002B4485" w:rsidP="00DC5FD7">
            <w:pPr>
              <w:shd w:val="clear" w:color="auto" w:fill="auto"/>
            </w:pPr>
            <w:r>
              <w:rPr>
                <w:noProof/>
              </w:rPr>
              <w:drawing>
                <wp:inline distT="0" distB="0" distL="0" distR="0" wp14:anchorId="3E360B7C" wp14:editId="046C4D41">
                  <wp:extent cx="3172460" cy="2748280"/>
                  <wp:effectExtent l="0" t="0" r="0" b="0"/>
                  <wp:docPr id="23" name="Image 7"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defin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72460" cy="2748280"/>
                          </a:xfrm>
                          <a:prstGeom prst="rect">
                            <a:avLst/>
                          </a:prstGeom>
                          <a:noFill/>
                          <a:ln w="9525">
                            <a:noFill/>
                            <a:miter lim="800000"/>
                            <a:headEnd/>
                            <a:tailEnd/>
                          </a:ln>
                        </pic:spPr>
                      </pic:pic>
                    </a:graphicData>
                  </a:graphic>
                </wp:inline>
              </w:drawing>
            </w:r>
          </w:p>
        </w:tc>
        <w:tc>
          <w:tcPr>
            <w:tcW w:w="5353" w:type="dxa"/>
            <w:tcBorders>
              <w:left w:val="single" w:sz="4" w:space="0" w:color="auto"/>
            </w:tcBorders>
          </w:tcPr>
          <w:p w14:paraId="07F4E163" w14:textId="77777777" w:rsidR="002B4485" w:rsidRDefault="002B4485" w:rsidP="00DC5FD7">
            <w:pPr>
              <w:shd w:val="clear" w:color="auto" w:fill="auto"/>
            </w:pPr>
            <w:r>
              <w:rPr>
                <w:noProof/>
              </w:rPr>
              <w:drawing>
                <wp:inline distT="0" distB="0" distL="0" distR="0" wp14:anchorId="155E596A" wp14:editId="5F98E8BC">
                  <wp:extent cx="3084844" cy="2865074"/>
                  <wp:effectExtent l="0" t="0" r="1270" b="0"/>
                  <wp:docPr id="3" name="Image 3" descr="https://substackcdn.com/image/fetch/w_1456,c_limit,f_auto,q_auto:good,fl_progressive:steep/https%3A%2F%2Fbucketeer-e05bbc84-baa3-437e-9518-adb32be77984.s3.amazonaws.com%2Fpublic%2Fimages%2F5de4b9d9-d040-4ee6-a015-84dbdc95aa14_700x6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ubstackcdn.com/image/fetch/w_1456,c_limit,f_auto,q_auto:good,fl_progressive:steep/https%3A%2F%2Fbucketeer-e05bbc84-baa3-437e-9518-adb32be77984.s3.amazonaws.com%2Fpublic%2Fimages%2F5de4b9d9-d040-4ee6-a015-84dbdc95aa14_700x637.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6243" t="7222" r="6025" b="3226"/>
                          <a:stretch/>
                        </pic:blipFill>
                        <pic:spPr bwMode="auto">
                          <a:xfrm>
                            <a:off x="0" y="0"/>
                            <a:ext cx="3091819" cy="2871552"/>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B4485" w14:paraId="2285F41B" w14:textId="77777777" w:rsidTr="00DC5FD7">
        <w:trPr>
          <w:trHeight w:val="2323"/>
        </w:trPr>
        <w:tc>
          <w:tcPr>
            <w:tcW w:w="5103" w:type="dxa"/>
            <w:tcBorders>
              <w:right w:val="single" w:sz="4" w:space="0" w:color="auto"/>
            </w:tcBorders>
          </w:tcPr>
          <w:p w14:paraId="73BC2460" w14:textId="77777777" w:rsidR="002B4485" w:rsidRPr="000714D5" w:rsidRDefault="002B4485" w:rsidP="00DC5FD7">
            <w:pPr>
              <w:shd w:val="clear" w:color="auto" w:fill="auto"/>
              <w:rPr>
                <w:spacing w:val="-4"/>
              </w:rPr>
            </w:pPr>
            <w:r w:rsidRPr="000714D5">
              <w:rPr>
                <w:b/>
                <w:spacing w:val="-4"/>
              </w:rPr>
              <w:t xml:space="preserve">Figure </w:t>
            </w:r>
            <w:r w:rsidRPr="000714D5">
              <w:rPr>
                <w:b/>
                <w:spacing w:val="-4"/>
              </w:rPr>
              <w:fldChar w:fldCharType="begin"/>
            </w:r>
            <w:r w:rsidRPr="000714D5">
              <w:rPr>
                <w:b/>
                <w:spacing w:val="-4"/>
              </w:rPr>
              <w:instrText xml:space="preserve"> SEQ Figure \* ARABIC </w:instrText>
            </w:r>
            <w:r w:rsidRPr="000714D5">
              <w:rPr>
                <w:b/>
                <w:spacing w:val="-4"/>
              </w:rPr>
              <w:fldChar w:fldCharType="separate"/>
            </w:r>
            <w:r w:rsidRPr="000714D5">
              <w:rPr>
                <w:b/>
                <w:noProof/>
                <w:spacing w:val="-4"/>
              </w:rPr>
              <w:t>1</w:t>
            </w:r>
            <w:r w:rsidRPr="000714D5">
              <w:rPr>
                <w:b/>
                <w:noProof/>
                <w:spacing w:val="-4"/>
              </w:rPr>
              <w:fldChar w:fldCharType="end"/>
            </w:r>
            <w:r w:rsidRPr="000714D5">
              <w:rPr>
                <w:spacing w:val="-4"/>
              </w:rPr>
              <w:t>. La corrélation entre les deux variables (consommation de cigarettes et cancer du poumon) est due à un véritable lien de causalité : la consommation de cigarettes est la cause avérée de cancers</w:t>
            </w:r>
            <w:r>
              <w:rPr>
                <w:spacing w:val="-4"/>
              </w:rPr>
              <w:t xml:space="preserve"> </w:t>
            </w:r>
            <w:r w:rsidRPr="000714D5">
              <w:rPr>
                <w:spacing w:val="-4"/>
              </w:rPr>
              <w:t>du poumon.</w:t>
            </w:r>
          </w:p>
        </w:tc>
        <w:tc>
          <w:tcPr>
            <w:tcW w:w="5353" w:type="dxa"/>
            <w:tcBorders>
              <w:left w:val="single" w:sz="4" w:space="0" w:color="auto"/>
            </w:tcBorders>
          </w:tcPr>
          <w:p w14:paraId="13CC5FDA" w14:textId="77777777" w:rsidR="002B4485" w:rsidRDefault="002B4485" w:rsidP="00DC5FD7">
            <w:pPr>
              <w:shd w:val="clear" w:color="auto" w:fill="auto"/>
            </w:pPr>
            <w:r w:rsidRPr="00AE619C">
              <w:rPr>
                <w:b/>
              </w:rPr>
              <w:t xml:space="preserve">Figure </w:t>
            </w:r>
            <w:r w:rsidRPr="00AE619C">
              <w:rPr>
                <w:b/>
              </w:rPr>
              <w:fldChar w:fldCharType="begin"/>
            </w:r>
            <w:r w:rsidRPr="00AE619C">
              <w:rPr>
                <w:b/>
              </w:rPr>
              <w:instrText xml:space="preserve"> SEQ Figure \* ARABIC </w:instrText>
            </w:r>
            <w:r w:rsidRPr="00AE619C">
              <w:rPr>
                <w:b/>
              </w:rPr>
              <w:fldChar w:fldCharType="separate"/>
            </w:r>
            <w:r>
              <w:rPr>
                <w:b/>
                <w:noProof/>
              </w:rPr>
              <w:t>2</w:t>
            </w:r>
            <w:r w:rsidRPr="00AE619C">
              <w:rPr>
                <w:b/>
                <w:noProof/>
              </w:rPr>
              <w:fldChar w:fldCharType="end"/>
            </w:r>
            <w:r>
              <w:t xml:space="preserve">. La corrélation entre le nombre de morts par noyade (drowning) et la consommation de crème glacée est due à une troisième variable : c’est la saison </w:t>
            </w:r>
            <w:r w:rsidRPr="00FC1917">
              <w:t xml:space="preserve">qui </w:t>
            </w:r>
            <w:r>
              <w:t>explique</w:t>
            </w:r>
            <w:r w:rsidRPr="00FC1917">
              <w:t xml:space="preserve"> à la fois l’augmentation du nombre de noyades (puisque les bains de mer sont plus fréquents en été) et de glaces vendues</w:t>
            </w:r>
            <w:r>
              <w:t xml:space="preserve">. </w:t>
            </w:r>
          </w:p>
        </w:tc>
      </w:tr>
      <w:tr w:rsidR="002B4485" w14:paraId="573215D7" w14:textId="77777777" w:rsidTr="00DC5FD7">
        <w:trPr>
          <w:trHeight w:val="648"/>
        </w:trPr>
        <w:tc>
          <w:tcPr>
            <w:tcW w:w="5103" w:type="dxa"/>
            <w:tcBorders>
              <w:right w:val="single" w:sz="4" w:space="0" w:color="auto"/>
            </w:tcBorders>
          </w:tcPr>
          <w:p w14:paraId="07F27559" w14:textId="77777777" w:rsidR="002B4485" w:rsidRPr="00AE619C" w:rsidRDefault="002B4485" w:rsidP="00DC5FD7">
            <w:pPr>
              <w:pStyle w:val="Lgende"/>
              <w:rPr>
                <w:i w:val="0"/>
                <w:iCs/>
                <w:noProof/>
                <w:color w:val="252525"/>
                <w:sz w:val="22"/>
                <w:szCs w:val="22"/>
              </w:rPr>
            </w:pPr>
            <w:r w:rsidRPr="00AE619C">
              <w:rPr>
                <w:i w:val="0"/>
                <w:color w:val="auto"/>
                <w:sz w:val="22"/>
              </w:rPr>
              <w:t xml:space="preserve">Source : </w:t>
            </w:r>
            <w:hyperlink r:id="rId16" w:history="1">
              <w:r w:rsidRPr="005E1C14">
                <w:rPr>
                  <w:rStyle w:val="Lienhypertexte"/>
                  <w:i w:val="0"/>
                  <w:sz w:val="22"/>
                </w:rPr>
                <w:t xml:space="preserve">site </w:t>
              </w:r>
              <w:proofErr w:type="spellStart"/>
              <w:r w:rsidRPr="005E1C14">
                <w:rPr>
                  <w:rStyle w:val="Lienhypertexte"/>
                  <w:i w:val="0"/>
                  <w:sz w:val="22"/>
                </w:rPr>
                <w:t>wikipedia</w:t>
              </w:r>
              <w:proofErr w:type="spellEnd"/>
            </w:hyperlink>
            <w:r w:rsidRPr="00AE619C">
              <w:rPr>
                <w:i w:val="0"/>
                <w:iCs/>
                <w:noProof/>
                <w:color w:val="252525"/>
                <w:sz w:val="22"/>
                <w:szCs w:val="22"/>
              </w:rPr>
              <w:t xml:space="preserve"> </w:t>
            </w:r>
          </w:p>
        </w:tc>
        <w:tc>
          <w:tcPr>
            <w:tcW w:w="5353" w:type="dxa"/>
            <w:tcBorders>
              <w:left w:val="single" w:sz="4" w:space="0" w:color="auto"/>
            </w:tcBorders>
          </w:tcPr>
          <w:p w14:paraId="7B8C7A05" w14:textId="77777777" w:rsidR="002B4485" w:rsidRPr="00AE619C" w:rsidRDefault="002B4485" w:rsidP="00DC5FD7">
            <w:pPr>
              <w:pStyle w:val="Lgende"/>
              <w:rPr>
                <w:i w:val="0"/>
                <w:sz w:val="22"/>
              </w:rPr>
            </w:pPr>
            <w:r w:rsidRPr="00AE619C">
              <w:rPr>
                <w:i w:val="0"/>
                <w:color w:val="auto"/>
                <w:sz w:val="22"/>
              </w:rPr>
              <w:t>Source :</w:t>
            </w:r>
            <w:r>
              <w:rPr>
                <w:i w:val="0"/>
                <w:color w:val="auto"/>
                <w:sz w:val="22"/>
              </w:rPr>
              <w:t xml:space="preserve"> </w:t>
            </w:r>
            <w:r w:rsidRPr="00CA4D58">
              <w:rPr>
                <w:i w:val="0"/>
                <w:color w:val="auto"/>
                <w:sz w:val="22"/>
              </w:rPr>
              <w:t xml:space="preserve">Pearl, </w:t>
            </w:r>
            <w:proofErr w:type="spellStart"/>
            <w:r w:rsidRPr="00CA4D58">
              <w:rPr>
                <w:i w:val="0"/>
                <w:color w:val="auto"/>
                <w:sz w:val="22"/>
              </w:rPr>
              <w:t>Judea</w:t>
            </w:r>
            <w:proofErr w:type="spellEnd"/>
            <w:r w:rsidRPr="00CA4D58">
              <w:rPr>
                <w:i w:val="0"/>
                <w:color w:val="auto"/>
                <w:sz w:val="22"/>
              </w:rPr>
              <w:t xml:space="preserve">. Causal </w:t>
            </w:r>
            <w:proofErr w:type="spellStart"/>
            <w:r w:rsidRPr="00CA4D58">
              <w:rPr>
                <w:i w:val="0"/>
                <w:color w:val="auto"/>
                <w:sz w:val="22"/>
              </w:rPr>
              <w:t>inference</w:t>
            </w:r>
            <w:proofErr w:type="spellEnd"/>
            <w:r w:rsidRPr="00CA4D58">
              <w:rPr>
                <w:i w:val="0"/>
                <w:color w:val="auto"/>
                <w:sz w:val="22"/>
              </w:rPr>
              <w:t xml:space="preserve"> In </w:t>
            </w:r>
            <w:proofErr w:type="spellStart"/>
            <w:r w:rsidRPr="00CA4D58">
              <w:rPr>
                <w:i w:val="0"/>
                <w:color w:val="auto"/>
                <w:sz w:val="22"/>
              </w:rPr>
              <w:t>Statistics</w:t>
            </w:r>
            <w:proofErr w:type="spellEnd"/>
            <w:r>
              <w:rPr>
                <w:i w:val="0"/>
                <w:color w:val="auto"/>
                <w:sz w:val="22"/>
              </w:rPr>
              <w:t xml:space="preserve"> : </w:t>
            </w:r>
            <w:r w:rsidRPr="00CA4D58">
              <w:rPr>
                <w:i w:val="0"/>
                <w:color w:val="auto"/>
                <w:sz w:val="22"/>
              </w:rPr>
              <w:t xml:space="preserve">An </w:t>
            </w:r>
            <w:proofErr w:type="spellStart"/>
            <w:r w:rsidRPr="00CA4D58">
              <w:rPr>
                <w:i w:val="0"/>
                <w:color w:val="auto"/>
                <w:sz w:val="22"/>
              </w:rPr>
              <w:t>Overview</w:t>
            </w:r>
            <w:proofErr w:type="spellEnd"/>
            <w:r w:rsidRPr="00CA4D58">
              <w:rPr>
                <w:i w:val="0"/>
                <w:color w:val="auto"/>
                <w:sz w:val="22"/>
              </w:rPr>
              <w:t xml:space="preserve">. </w:t>
            </w:r>
            <w:proofErr w:type="spellStart"/>
            <w:r w:rsidRPr="00CA4D58">
              <w:rPr>
                <w:i w:val="0"/>
                <w:color w:val="auto"/>
                <w:sz w:val="22"/>
              </w:rPr>
              <w:t>Statist</w:t>
            </w:r>
            <w:proofErr w:type="spellEnd"/>
            <w:r w:rsidRPr="00CA4D58">
              <w:rPr>
                <w:i w:val="0"/>
                <w:color w:val="auto"/>
                <w:sz w:val="22"/>
              </w:rPr>
              <w:t xml:space="preserve">. </w:t>
            </w:r>
            <w:proofErr w:type="spellStart"/>
            <w:r w:rsidRPr="00CA4D58">
              <w:rPr>
                <w:i w:val="0"/>
                <w:color w:val="auto"/>
                <w:sz w:val="22"/>
              </w:rPr>
              <w:t>Surv</w:t>
            </w:r>
            <w:proofErr w:type="spellEnd"/>
            <w:r w:rsidRPr="00CA4D58">
              <w:rPr>
                <w:i w:val="0"/>
                <w:color w:val="auto"/>
                <w:sz w:val="22"/>
              </w:rPr>
              <w:t>. 3 (2009), 96—146</w:t>
            </w:r>
          </w:p>
        </w:tc>
      </w:tr>
    </w:tbl>
    <w:p w14:paraId="377CB50B" w14:textId="77777777" w:rsidR="002B4485" w:rsidRDefault="002B4485" w:rsidP="002B4485"/>
    <w:p w14:paraId="463A3BF7" w14:textId="77777777" w:rsidR="002B4485" w:rsidRPr="00BC7469" w:rsidRDefault="002B4485" w:rsidP="002B4485">
      <w:pPr>
        <w:pStyle w:val="Titre3"/>
        <w:rPr>
          <w:iCs w:val="0"/>
          <w:sz w:val="32"/>
          <w:szCs w:val="32"/>
          <w:shd w:val="clear" w:color="auto" w:fill="FFFFFF"/>
        </w:rPr>
      </w:pPr>
      <w:r>
        <w:rPr>
          <w:rStyle w:val="Titre2Car"/>
        </w:rPr>
        <w:lastRenderedPageBreak/>
        <w:t>Support</w:t>
      </w:r>
      <w:r w:rsidRPr="00C01A1A">
        <w:rPr>
          <w:rStyle w:val="Titre2Car"/>
        </w:rPr>
        <w:t xml:space="preserve"> </w:t>
      </w:r>
      <w:r>
        <w:rPr>
          <w:rStyle w:val="Titre2Car"/>
        </w:rPr>
        <w:t>7. Biais de confirmation ou pourquoi ai-je l’impression d’avoir toujours raison ?</w:t>
      </w:r>
    </w:p>
    <w:p w14:paraId="431B4BD2" w14:textId="77777777" w:rsidR="002B4485" w:rsidRDefault="002B4485" w:rsidP="002B4485">
      <w:r>
        <w:t xml:space="preserve">Nous traitons l’information et raisonnons à partir de données que notre cerveau perçoit et interprète. Ce fonctionnement est presque toujours correct, mais dans un contexte donné, notre mémoire, nos raisonnements et traitements de l’information sont moins performants et nous conduisent à commettre des erreurs que l’on nomme biais cognitifs. </w:t>
      </w:r>
    </w:p>
    <w:p w14:paraId="09389002" w14:textId="77777777" w:rsidR="002B4485" w:rsidRDefault="002B4485" w:rsidP="002B4485">
      <w:r>
        <w:t>Parmi ceux-ci,</w:t>
      </w:r>
      <w:r w:rsidRPr="009C3B68">
        <w:t xml:space="preserve"> le </w:t>
      </w:r>
      <w:r w:rsidRPr="009C3B68">
        <w:rPr>
          <w:b/>
        </w:rPr>
        <w:t>biais de confirmation</w:t>
      </w:r>
      <w:r w:rsidRPr="009C3B68">
        <w:t xml:space="preserve"> </w:t>
      </w:r>
      <w:r>
        <w:t>joue un rôle majeur sur</w:t>
      </w:r>
      <w:r w:rsidRPr="009C3B68">
        <w:t xml:space="preserve"> la prise de décision et de la formation des </w:t>
      </w:r>
      <w:r>
        <w:t>opinions</w:t>
      </w:r>
      <w:r w:rsidRPr="009C3B68">
        <w:t xml:space="preserve">. </w:t>
      </w:r>
      <w:r>
        <w:t>Il</w:t>
      </w:r>
      <w:r w:rsidRPr="009C3B68">
        <w:t xml:space="preserve"> représente </w:t>
      </w:r>
      <w:r>
        <w:t>notre</w:t>
      </w:r>
      <w:r w:rsidRPr="009C3B68">
        <w:t xml:space="preserve"> tendance à favoriser ou chercher activement des informations qui confirment nos convictions existantes, tout en évitant ou en minimisant celles qui les contredisent.</w:t>
      </w:r>
    </w:p>
    <w:p w14:paraId="59F95299" w14:textId="77777777" w:rsidR="002B4485" w:rsidRDefault="002B4485" w:rsidP="002B4485">
      <w:r>
        <w:t>On acceptera donc plus facilement des informations qui vont dans le sens de nos opinions. Ce biais n’est pas que négatif : c’est un système de défense de l’individu contre les possibles incohérences et tensions psychologiques. En effet, il permet de comprendre pourquoi les événements contredisant nos idées préalables seront plus facilement ignorés, nous empêchant par conséquent d’être mis en défaut (</w:t>
      </w:r>
      <w:r w:rsidRPr="000B21E4">
        <w:rPr>
          <w:b/>
        </w:rPr>
        <w:t>Figure 3</w:t>
      </w:r>
      <w:r>
        <w:t>).</w:t>
      </w:r>
    </w:p>
    <w:p w14:paraId="4CE2A86C" w14:textId="77777777" w:rsidR="002B4485" w:rsidRDefault="002B4485" w:rsidP="002B4485">
      <w:pPr>
        <w:keepNext/>
        <w:jc w:val="center"/>
      </w:pPr>
      <w:r w:rsidRPr="008E6C73">
        <w:rPr>
          <w:i/>
          <w:noProof/>
          <w:color w:val="auto"/>
        </w:rPr>
        <w:lastRenderedPageBreak/>
        <mc:AlternateContent>
          <mc:Choice Requires="wps">
            <w:drawing>
              <wp:anchor distT="45720" distB="45720" distL="114300" distR="114300" simplePos="0" relativeHeight="251659264" behindDoc="0" locked="0" layoutInCell="1" allowOverlap="1" wp14:anchorId="08255B1A" wp14:editId="1C24B004">
                <wp:simplePos x="0" y="0"/>
                <wp:positionH relativeFrom="column">
                  <wp:posOffset>542925</wp:posOffset>
                </wp:positionH>
                <wp:positionV relativeFrom="paragraph">
                  <wp:posOffset>3578224</wp:posOffset>
                </wp:positionV>
                <wp:extent cx="523875" cy="295275"/>
                <wp:effectExtent l="0" t="0" r="28575" b="2857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95275"/>
                        </a:xfrm>
                        <a:prstGeom prst="rect">
                          <a:avLst/>
                        </a:prstGeom>
                        <a:solidFill>
                          <a:srgbClr val="FFFFFF"/>
                        </a:solidFill>
                        <a:ln w="9525">
                          <a:solidFill>
                            <a:srgbClr val="000000"/>
                          </a:solidFill>
                          <a:miter lim="800000"/>
                          <a:headEnd/>
                          <a:tailEnd/>
                        </a:ln>
                      </wps:spPr>
                      <wps:txbx>
                        <w:txbxContent>
                          <w:p w14:paraId="25D117B5" w14:textId="77777777" w:rsidR="002B4485" w:rsidRDefault="002B4485" w:rsidP="002B4485">
                            <w:r>
                              <w:t>Oui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255B1A" id="_x0000_t202" coordsize="21600,21600" o:spt="202" path="m,l,21600r21600,l21600,xe">
                <v:stroke joinstyle="miter"/>
                <v:path gradientshapeok="t" o:connecttype="rect"/>
              </v:shapetype>
              <v:shape id="Zone de texte 2" o:spid="_x0000_s1026" type="#_x0000_t202" style="position:absolute;left:0;text-align:left;margin-left:42.75pt;margin-top:281.75pt;width:41.25pt;height:23.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OpiDAIAAB4EAAAOAAAAZHJzL2Uyb0RvYy54bWysU9tu2zAMfR+wfxD0vjjJkjU14hRdugwD&#10;ugvQ7QNkWY6FyaJGKbGzrx8lu2l2exmmB4EUqUPykFzf9K1hR4Vegy34bDLlTFkJlbb7gn/5vHux&#10;4swHYSthwKqCn5TnN5vnz9ady9UcGjCVQkYg1uedK3gTgsuzzMtGtcJPwClLxhqwFYFU3GcVio7Q&#10;W5PNp9NXWQdYOQSpvKfXu8HINwm/rpUMH+vaq8BMwSm3kG5MdxnvbLMW+R6Fa7Qc0xD/kEUrtKWg&#10;Z6g7EQQ7oP4NqtUSwUMdJhLaDOpaS5VqoGpm01+qeWiEU6kWIse7M03+/8HKD8cH9wlZ6F9DTw1M&#10;RXh3D/KrZxa2jbB7dYsIXaNERYFnkbKscz4fv0aqfe4jSNm9h4qaLA4BElBfYxtZoToZoVMDTmfS&#10;VR+YpMfl/OXqasmZJNP8ejknOUYQ+eNnhz68VdCyKBQcqacJXBzvfRhcH11iLA9GVzttTFJwX24N&#10;sqOg/u/SGdF/cjOWdQWn4Muh/r9CTNP5E0SrAw2y0W3BV2cnkUfW3tgqjVkQ2gwyVWfsSGNkbuAw&#10;9GVPjpHOEqoTEYowDCwtGAkN4HfOOhrWgvtvB4GKM/POUlOuZ4tFnO6kLJZXc1Lw0lJeWoSVBFXw&#10;wNkgbkPaiEiYhVtqXq0TsU+ZjLnSEKbWjAsTp/xST15Pa735AQAA//8DAFBLAwQUAAYACAAAACEA&#10;w4ML298AAAAKAQAADwAAAGRycy9kb3ducmV2LnhtbEyPy07DMBBF90j8gzVIbFDrlBITQpwKIYHo&#10;DloEWzeeJhF+BNtNw98zXcFuRnN15txqNVnDRgyx907CYp4BQ9d43btWwvv2aVYAi0k5rYx3KOEH&#10;I6zq87NKldof3RuOm9QygrhYKgldSkPJeWw6tCrO/YCObnsfrEq0hpbroI4Et4ZfZ5ngVvWOPnRq&#10;wMcOm6/NwUoobl7Gz7hevn40Ym/u0tXt+PwdpLy8mB7ugSWc0l8YTvqkDjU57fzB6cgMMfKckhJy&#10;saThFBAFldtJEIssA15X/H+F+hcAAP//AwBQSwECLQAUAAYACAAAACEAtoM4kv4AAADhAQAAEwAA&#10;AAAAAAAAAAAAAAAAAAAAW0NvbnRlbnRfVHlwZXNdLnhtbFBLAQItABQABgAIAAAAIQA4/SH/1gAA&#10;AJQBAAALAAAAAAAAAAAAAAAAAC8BAABfcmVscy8ucmVsc1BLAQItABQABgAIAAAAIQA6jOpiDAIA&#10;AB4EAAAOAAAAAAAAAAAAAAAAAC4CAABkcnMvZTJvRG9jLnhtbFBLAQItABQABgAIAAAAIQDDgwvb&#10;3wAAAAoBAAAPAAAAAAAAAAAAAAAAAGYEAABkcnMvZG93bnJldi54bWxQSwUGAAAAAAQABADzAAAA&#10;cgUAAAAA&#10;">
                <v:textbox>
                  <w:txbxContent>
                    <w:p w14:paraId="25D117B5" w14:textId="77777777" w:rsidR="002B4485" w:rsidRDefault="002B4485" w:rsidP="002B4485">
                      <w:r>
                        <w:t>Oui</w:t>
                      </w:r>
                    </w:p>
                  </w:txbxContent>
                </v:textbox>
              </v:shape>
            </w:pict>
          </mc:Fallback>
        </mc:AlternateContent>
      </w:r>
      <w:r w:rsidRPr="008E6C73">
        <w:rPr>
          <w:i/>
          <w:noProof/>
          <w:color w:val="auto"/>
        </w:rPr>
        <mc:AlternateContent>
          <mc:Choice Requires="wps">
            <w:drawing>
              <wp:anchor distT="45720" distB="45720" distL="114300" distR="114300" simplePos="0" relativeHeight="251660288" behindDoc="0" locked="0" layoutInCell="1" allowOverlap="1" wp14:anchorId="46814C70" wp14:editId="695E4D5C">
                <wp:simplePos x="0" y="0"/>
                <wp:positionH relativeFrom="column">
                  <wp:posOffset>2390776</wp:posOffset>
                </wp:positionH>
                <wp:positionV relativeFrom="paragraph">
                  <wp:posOffset>3578224</wp:posOffset>
                </wp:positionV>
                <wp:extent cx="533400" cy="295275"/>
                <wp:effectExtent l="0" t="0" r="19050" b="28575"/>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 cy="295275"/>
                        </a:xfrm>
                        <a:prstGeom prst="rect">
                          <a:avLst/>
                        </a:prstGeom>
                        <a:solidFill>
                          <a:srgbClr val="FFFFFF"/>
                        </a:solidFill>
                        <a:ln w="9525">
                          <a:solidFill>
                            <a:srgbClr val="000000"/>
                          </a:solidFill>
                          <a:miter lim="800000"/>
                          <a:headEnd/>
                          <a:tailEnd/>
                        </a:ln>
                      </wps:spPr>
                      <wps:txbx>
                        <w:txbxContent>
                          <w:p w14:paraId="1C8C2202" w14:textId="77777777" w:rsidR="002B4485" w:rsidRDefault="002B4485" w:rsidP="002B4485">
                            <w:r>
                              <w:t>Non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814C70" id="_x0000_s1027" type="#_x0000_t202" style="position:absolute;left:0;text-align:left;margin-left:188.25pt;margin-top:281.75pt;width:42pt;height:23.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ZH1EAIAACUEAAAOAAAAZHJzL2Uyb0RvYy54bWysU9tu2zAMfR+wfxD0vthJk7U14hRdugwD&#10;ugvQ7QNoWY6FyaImKbGzry+luGl2exmmB4EUqUPykFzeDJ1me+m8QlPy6STnTBqBtTLbkn/9snl1&#10;xZkPYGrQaGTJD9Lzm9XLF8veFnKGLepaOkYgxhe9LXkbgi2yzItWduAnaKUhY4Oug0Cq22a1g57Q&#10;O53N8vx11qOrrUMhvafXu6ORrxJ+00gRPjWNl4HpklNuId0u3VW8s9USiq0D2yoxpgH/kEUHylDQ&#10;E9QdBGA7p36D6pRw6LEJE4Fdhk2jhEw1UDXT/JdqHlqwMtVC5Hh7osn/P1jxcf9gPzsWhjc4UANT&#10;Ed7eo/jmmcF1C2Yrb53DvpVQU+BppCzrrS/Gr5FqX/gIUvUfsKYmwy5gAhoa10VWqE5G6NSAw4l0&#10;OQQm6HFxcTHPySLINLtezC4XKQIUT5+t8+GdxI5FoeSOeprAYX/vQ0wGiieXGMujVvVGaZ0Ut63W&#10;2rE9UP836YzoP7lpw/qSU/DFsf6/QuTp/AmiU4EGWauu5FcnJygia29NncYsgNJHmVLWZqQxMnfk&#10;MAzVwFQ9chxZrbA+EK8Oj3NLe0ZCi+4HZz3NbMn99x04yZl+b6g319P5PA55UuaLyxkp7txSnVvA&#10;CIIqeeDsKK5DWozIm8Fb6mGjEr/PmYwp0ywm2se9icN+riev5+1ePQIAAP//AwBQSwMEFAAGAAgA&#10;AAAhAJzI+z7gAAAACwEAAA8AAABkcnMvZG93bnJldi54bWxMj8FOwzAMhu9IvENkJC6IJaNbNkrT&#10;CSGB4AYDwTVrsrYicUqSdeXtMSe4/ZY//f5cbSbv2Ghj6gMqmM8EMItNMD22Ct5e7y/XwFLWaLQL&#10;aBV82wSb+vSk0qUJR3yx4za3jEowlVpBl/NQcp6aznqdZmGwSLt9iF5nGmPLTdRHKveOXwkhudc9&#10;0oVOD/aus83n9uAVrBeP40d6Kp7fG7l31/liNT58RaXOz6bbG2DZTvkPhl99UoeanHbhgCYxp6BY&#10;ySWhCpayoEDEQgoKOwVyLgTwuuL/f6h/AAAA//8DAFBLAQItABQABgAIAAAAIQC2gziS/gAAAOEB&#10;AAATAAAAAAAAAAAAAAAAAAAAAABbQ29udGVudF9UeXBlc10ueG1sUEsBAi0AFAAGAAgAAAAhADj9&#10;If/WAAAAlAEAAAsAAAAAAAAAAAAAAAAALwEAAF9yZWxzLy5yZWxzUEsBAi0AFAAGAAgAAAAhAEQx&#10;kfUQAgAAJQQAAA4AAAAAAAAAAAAAAAAALgIAAGRycy9lMm9Eb2MueG1sUEsBAi0AFAAGAAgAAAAh&#10;AJzI+z7gAAAACwEAAA8AAAAAAAAAAAAAAAAAagQAAGRycy9kb3ducmV2LnhtbFBLBQYAAAAABAAE&#10;APMAAAB3BQAAAAA=&#10;">
                <v:textbox>
                  <w:txbxContent>
                    <w:p w14:paraId="1C8C2202" w14:textId="77777777" w:rsidR="002B4485" w:rsidRDefault="002B4485" w:rsidP="002B4485">
                      <w:r>
                        <w:t>Non</w:t>
                      </w:r>
                    </w:p>
                  </w:txbxContent>
                </v:textbox>
              </v:shape>
            </w:pict>
          </mc:Fallback>
        </mc:AlternateContent>
      </w:r>
      <w:r w:rsidRPr="00A13538">
        <w:rPr>
          <w:noProof/>
        </w:rPr>
        <w:drawing>
          <wp:inline distT="0" distB="0" distL="0" distR="0" wp14:anchorId="61CAB91B" wp14:editId="392C3639">
            <wp:extent cx="6430945" cy="4684033"/>
            <wp:effectExtent l="0" t="0" r="8255" b="2540"/>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460186" cy="4705331"/>
                    </a:xfrm>
                    <a:prstGeom prst="rect">
                      <a:avLst/>
                    </a:prstGeom>
                    <a:noFill/>
                    <a:ln>
                      <a:noFill/>
                    </a:ln>
                  </pic:spPr>
                </pic:pic>
              </a:graphicData>
            </a:graphic>
          </wp:inline>
        </w:drawing>
      </w:r>
    </w:p>
    <w:p w14:paraId="2E642634" w14:textId="77777777" w:rsidR="002B4485" w:rsidRDefault="002B4485" w:rsidP="002B4485">
      <w:pPr>
        <w:pStyle w:val="Lgende"/>
        <w:rPr>
          <w:i w:val="0"/>
          <w:color w:val="auto"/>
          <w:sz w:val="22"/>
        </w:rPr>
      </w:pPr>
      <w:r w:rsidRPr="0063696D">
        <w:rPr>
          <w:b/>
          <w:bCs/>
          <w:i w:val="0"/>
          <w:color w:val="auto"/>
          <w:sz w:val="22"/>
        </w:rPr>
        <w:t xml:space="preserve">Figure </w:t>
      </w:r>
      <w:r w:rsidRPr="0063696D">
        <w:rPr>
          <w:b/>
          <w:bCs/>
          <w:i w:val="0"/>
          <w:color w:val="auto"/>
          <w:sz w:val="22"/>
        </w:rPr>
        <w:fldChar w:fldCharType="begin"/>
      </w:r>
      <w:r w:rsidRPr="0063696D">
        <w:rPr>
          <w:b/>
          <w:bCs/>
          <w:i w:val="0"/>
          <w:color w:val="auto"/>
          <w:sz w:val="22"/>
        </w:rPr>
        <w:instrText xml:space="preserve"> SEQ Figure \* ARABIC </w:instrText>
      </w:r>
      <w:r w:rsidRPr="0063696D">
        <w:rPr>
          <w:b/>
          <w:bCs/>
          <w:i w:val="0"/>
          <w:color w:val="auto"/>
          <w:sz w:val="22"/>
        </w:rPr>
        <w:fldChar w:fldCharType="separate"/>
      </w:r>
      <w:r w:rsidRPr="0063696D">
        <w:rPr>
          <w:b/>
          <w:bCs/>
          <w:i w:val="0"/>
          <w:noProof/>
          <w:color w:val="auto"/>
          <w:sz w:val="22"/>
        </w:rPr>
        <w:t>3</w:t>
      </w:r>
      <w:r w:rsidRPr="0063696D">
        <w:rPr>
          <w:b/>
          <w:bCs/>
          <w:i w:val="0"/>
          <w:noProof/>
          <w:color w:val="auto"/>
          <w:sz w:val="22"/>
        </w:rPr>
        <w:fldChar w:fldCharType="end"/>
      </w:r>
      <w:r w:rsidRPr="0063696D">
        <w:rPr>
          <w:b/>
          <w:bCs/>
          <w:i w:val="0"/>
          <w:color w:val="auto"/>
          <w:sz w:val="22"/>
        </w:rPr>
        <w:t>.</w:t>
      </w:r>
      <w:r w:rsidRPr="002516EE">
        <w:rPr>
          <w:i w:val="0"/>
          <w:color w:val="auto"/>
          <w:sz w:val="22"/>
        </w:rPr>
        <w:t xml:space="preserve"> Le biais de confirmation appliqué au cas des naissances en maternité les soirs de </w:t>
      </w:r>
      <w:r>
        <w:rPr>
          <w:i w:val="0"/>
          <w:color w:val="auto"/>
          <w:sz w:val="22"/>
        </w:rPr>
        <w:t>p</w:t>
      </w:r>
      <w:r w:rsidRPr="002516EE">
        <w:rPr>
          <w:i w:val="0"/>
          <w:color w:val="auto"/>
          <w:sz w:val="22"/>
        </w:rPr>
        <w:t xml:space="preserve">leine </w:t>
      </w:r>
      <w:r>
        <w:rPr>
          <w:i w:val="0"/>
          <w:color w:val="auto"/>
          <w:sz w:val="22"/>
        </w:rPr>
        <w:t>l</w:t>
      </w:r>
      <w:r w:rsidRPr="002516EE">
        <w:rPr>
          <w:i w:val="0"/>
          <w:color w:val="auto"/>
          <w:sz w:val="22"/>
        </w:rPr>
        <w:t>une.</w:t>
      </w:r>
    </w:p>
    <w:p w14:paraId="531A731A" w14:textId="77777777" w:rsidR="002B4485" w:rsidRPr="005E1C14" w:rsidRDefault="002B4485" w:rsidP="002B4485">
      <w:pPr>
        <w:pStyle w:val="Lgende"/>
        <w:rPr>
          <w:i w:val="0"/>
          <w:color w:val="auto"/>
          <w:sz w:val="22"/>
        </w:rPr>
      </w:pPr>
      <w:r w:rsidRPr="002516EE">
        <w:rPr>
          <w:i w:val="0"/>
          <w:color w:val="auto"/>
          <w:sz w:val="22"/>
        </w:rPr>
        <w:t>Source :</w:t>
      </w:r>
      <w:r>
        <w:rPr>
          <w:i w:val="0"/>
          <w:color w:val="auto"/>
          <w:sz w:val="22"/>
        </w:rPr>
        <w:t xml:space="preserve"> « Introduction</w:t>
      </w:r>
      <w:r w:rsidRPr="002516EE">
        <w:rPr>
          <w:i w:val="0"/>
          <w:color w:val="auto"/>
          <w:sz w:val="22"/>
        </w:rPr>
        <w:t xml:space="preserve"> à l’épistémologie et à la pensée critique</w:t>
      </w:r>
      <w:r>
        <w:rPr>
          <w:i w:val="0"/>
          <w:color w:val="auto"/>
          <w:sz w:val="22"/>
        </w:rPr>
        <w:t> »,</w:t>
      </w:r>
      <w:r w:rsidRPr="002516EE">
        <w:rPr>
          <w:i w:val="0"/>
          <w:color w:val="auto"/>
          <w:sz w:val="22"/>
        </w:rPr>
        <w:t xml:space="preserve"> Jérémy Attard </w:t>
      </w:r>
    </w:p>
    <w:p w14:paraId="38BEA0F6" w14:textId="77777777" w:rsidR="002B4485" w:rsidRPr="00BC7469" w:rsidRDefault="002B4485" w:rsidP="002B4485">
      <w:pPr>
        <w:pStyle w:val="Titre3"/>
        <w:rPr>
          <w:iCs w:val="0"/>
          <w:sz w:val="32"/>
          <w:szCs w:val="32"/>
          <w:shd w:val="clear" w:color="auto" w:fill="FFFFFF"/>
        </w:rPr>
      </w:pPr>
      <w:r>
        <w:rPr>
          <w:rStyle w:val="Titre2Car"/>
        </w:rPr>
        <w:t>Support</w:t>
      </w:r>
      <w:r w:rsidRPr="00C01A1A">
        <w:rPr>
          <w:rStyle w:val="Titre2Car"/>
        </w:rPr>
        <w:t xml:space="preserve"> </w:t>
      </w:r>
      <w:r>
        <w:rPr>
          <w:rStyle w:val="Titre2Car"/>
        </w:rPr>
        <w:t>8. Effet de la Lune sur les naissances : que disent les études scientifiques ?</w:t>
      </w:r>
    </w:p>
    <w:p w14:paraId="0431C228" w14:textId="77777777" w:rsidR="002B4485" w:rsidRPr="000714D5" w:rsidRDefault="002B4485" w:rsidP="002B4485">
      <w:pPr>
        <w:rPr>
          <w:spacing w:val="-2"/>
        </w:rPr>
      </w:pPr>
      <w:r w:rsidRPr="000714D5" w:rsidDel="00D767C3">
        <w:rPr>
          <w:spacing w:val="-2"/>
        </w:rPr>
        <w:t xml:space="preserve"> </w:t>
      </w:r>
      <w:r w:rsidRPr="000714D5">
        <w:rPr>
          <w:spacing w:val="-2"/>
        </w:rPr>
        <w:t xml:space="preserve">« Nous avons montré qu’un consensus se dégageait pour dire que la Lune n’avait pas d’influence directe sur le nombre de naissances et que le fait que de petites études fassent parfois </w:t>
      </w:r>
      <w:proofErr w:type="spellStart"/>
      <w:r w:rsidRPr="000714D5">
        <w:rPr>
          <w:spacing w:val="-2"/>
        </w:rPr>
        <w:t>apparaître</w:t>
      </w:r>
      <w:proofErr w:type="spellEnd"/>
      <w:r w:rsidRPr="000714D5">
        <w:rPr>
          <w:spacing w:val="-2"/>
        </w:rPr>
        <w:t xml:space="preserve"> un effet relevait du hasard et de la </w:t>
      </w:r>
      <w:r w:rsidRPr="000714D5">
        <w:rPr>
          <w:rFonts w:cs="Times New Roman"/>
          <w:spacing w:val="-2"/>
        </w:rPr>
        <w:t>"</w:t>
      </w:r>
      <w:r w:rsidRPr="000714D5">
        <w:rPr>
          <w:spacing w:val="-2"/>
        </w:rPr>
        <w:t>marge d’erreur</w:t>
      </w:r>
      <w:r w:rsidRPr="000714D5">
        <w:rPr>
          <w:rFonts w:cs="Times New Roman"/>
          <w:spacing w:val="-2"/>
        </w:rPr>
        <w:t>"</w:t>
      </w:r>
      <w:r w:rsidRPr="000714D5">
        <w:rPr>
          <w:spacing w:val="-2"/>
        </w:rPr>
        <w:t xml:space="preserve"> des différentes méthodes utilisées. En revanche, nous avons remarqué que quelques grosses études mettaient en évidence une très faible hausse des naissances au voisinage de la pleine </w:t>
      </w:r>
      <w:r>
        <w:rPr>
          <w:spacing w:val="-2"/>
        </w:rPr>
        <w:t>l</w:t>
      </w:r>
      <w:r w:rsidRPr="000714D5">
        <w:rPr>
          <w:spacing w:val="-2"/>
        </w:rPr>
        <w:t xml:space="preserve">une. Il pourrait s’agir de la manifestation du phénomène très intéressant que serait l’influence d’une croyance sur la physiologie de certaines personnes. En effet, dans un autre domaine, il a été montré que, lorsque les horoscopes chinois prévoyaient des périodes très négatives pour des personnes croyant à leur efficacité et atteintes de maladies graves, celles-ci mourraient significativement plus tôt que les autres. Les personnes testées qui étaient étrangères à la culture chinoise et ne connaissaient donc pas les horoscopes mourraient, elles, de </w:t>
      </w:r>
      <w:r w:rsidRPr="000714D5">
        <w:rPr>
          <w:spacing w:val="-2"/>
        </w:rPr>
        <w:lastRenderedPageBreak/>
        <w:t xml:space="preserve">manière tout à fait </w:t>
      </w:r>
      <w:r w:rsidRPr="000714D5">
        <w:rPr>
          <w:rFonts w:cs="Times New Roman"/>
          <w:spacing w:val="-2"/>
        </w:rPr>
        <w:t>"</w:t>
      </w:r>
      <w:r w:rsidRPr="000714D5">
        <w:rPr>
          <w:spacing w:val="-2"/>
        </w:rPr>
        <w:t>normale", étayant l’effet possible d’une croyance sur la physiologie du corps. ».</w:t>
      </w:r>
    </w:p>
    <w:p w14:paraId="03F22245" w14:textId="77777777" w:rsidR="002B4485" w:rsidRDefault="002B4485" w:rsidP="002B4485">
      <w:r>
        <w:t xml:space="preserve">Extrait de l’ouvrage : « Sous l’emprise de la Lune. Le regard de la science », J. </w:t>
      </w:r>
      <w:proofErr w:type="spellStart"/>
      <w:r>
        <w:t>Bellayer</w:t>
      </w:r>
      <w:proofErr w:type="spellEnd"/>
      <w:r>
        <w:t>, 2011, book-e-book Editions.</w:t>
      </w:r>
    </w:p>
    <w:p w14:paraId="7B196B35" w14:textId="77777777" w:rsidR="002B4485" w:rsidRPr="00BC7469" w:rsidRDefault="002B4485" w:rsidP="002B4485">
      <w:pPr>
        <w:pStyle w:val="Titre3"/>
        <w:rPr>
          <w:iCs w:val="0"/>
          <w:sz w:val="32"/>
          <w:szCs w:val="32"/>
          <w:shd w:val="clear" w:color="auto" w:fill="FFFFFF"/>
        </w:rPr>
      </w:pPr>
      <w:r>
        <w:rPr>
          <w:rStyle w:val="Titre2Car"/>
        </w:rPr>
        <w:t>Support</w:t>
      </w:r>
      <w:r w:rsidRPr="00C01A1A">
        <w:rPr>
          <w:rStyle w:val="Titre2Car"/>
        </w:rPr>
        <w:t xml:space="preserve"> </w:t>
      </w:r>
      <w:r>
        <w:rPr>
          <w:rStyle w:val="Titre2Car"/>
        </w:rPr>
        <w:t>9. Le biais de cadrage et la mise en forme des données</w:t>
      </w:r>
    </w:p>
    <w:p w14:paraId="1932CEA9" w14:textId="77777777" w:rsidR="002B4485" w:rsidRPr="005E1C14" w:rsidRDefault="002B4485" w:rsidP="002B4485">
      <w:pPr>
        <w:rPr>
          <w:rStyle w:val="Titre2Car"/>
          <w:iCs w:val="0"/>
          <w:sz w:val="22"/>
          <w:szCs w:val="22"/>
        </w:rPr>
      </w:pPr>
      <w:r>
        <w:t xml:space="preserve">Le biais de cadrage est un biais cognitif décrivant la manière dont nous sommes sensibles à la présentation d’une information : une même information pourra être ainsi interprétée de deux façons différentes en fonction de sa mise en forme, qu’elle soit sous forme de texte, de chiffres, ou d’image. Par exemple, l’utilisation de graphiques pour représenter les données permet de faire passer une même information de deux manières différentes. </w:t>
      </w:r>
    </w:p>
    <w:p w14:paraId="4D2EED5B" w14:textId="77777777" w:rsidR="002B4485" w:rsidRPr="00BC7469" w:rsidRDefault="002B4485" w:rsidP="002B4485">
      <w:pPr>
        <w:pStyle w:val="Titre3"/>
        <w:rPr>
          <w:iCs w:val="0"/>
          <w:sz w:val="32"/>
          <w:szCs w:val="32"/>
          <w:shd w:val="clear" w:color="auto" w:fill="FFFFFF"/>
        </w:rPr>
      </w:pPr>
      <w:r>
        <w:rPr>
          <w:rStyle w:val="Titre2Car"/>
        </w:rPr>
        <w:t>Support</w:t>
      </w:r>
      <w:r w:rsidRPr="00C01A1A">
        <w:rPr>
          <w:rStyle w:val="Titre2Car"/>
        </w:rPr>
        <w:t xml:space="preserve"> </w:t>
      </w:r>
      <w:r>
        <w:rPr>
          <w:rStyle w:val="Titre2Car"/>
        </w:rPr>
        <w:t>10. L’échelle des niveaux de preuve</w:t>
      </w:r>
    </w:p>
    <w:p w14:paraId="1C548C3C" w14:textId="77777777" w:rsidR="002B4485" w:rsidRDefault="002B4485" w:rsidP="002B4485">
      <w:r>
        <w:t xml:space="preserve">Une preuve est </w:t>
      </w:r>
      <w:r>
        <w:rPr>
          <w:color w:val="212529"/>
          <w:shd w:val="clear" w:color="auto" w:fill="FFFFFF"/>
        </w:rPr>
        <w:t>ce qui permet d’établir la vraisemblance d’une proposition et par là, d’affirmer l’existence d’un fait ou d’un phénomène avec le maximum de certitude. Elle peut prendre différentes formes (témoignage, argumentation, expérience personnelle, démonstration, étude scientifique, etc.)</w:t>
      </w:r>
      <w:r>
        <w:rPr>
          <w:rStyle w:val="Appelnotedebasdep"/>
          <w:color w:val="212529"/>
          <w:shd w:val="clear" w:color="auto" w:fill="FFFFFF"/>
        </w:rPr>
        <w:footnoteReference w:id="6"/>
      </w:r>
      <w:r>
        <w:rPr>
          <w:color w:val="212529"/>
          <w:shd w:val="clear" w:color="auto" w:fill="FFFFFF"/>
        </w:rPr>
        <w:t xml:space="preserve">. Mais toutes les preuves ne se valent pas. </w:t>
      </w:r>
      <w:r w:rsidRPr="00143917">
        <w:t>L'échelle de</w:t>
      </w:r>
      <w:r>
        <w:t>s niveaux de</w:t>
      </w:r>
      <w:r w:rsidRPr="00143917">
        <w:t xml:space="preserve"> preuve vise </w:t>
      </w:r>
      <w:r>
        <w:t xml:space="preserve">ainsi </w:t>
      </w:r>
      <w:r w:rsidRPr="00143917">
        <w:t xml:space="preserve">à évaluer la </w:t>
      </w:r>
      <w:r>
        <w:t xml:space="preserve">fiabilité de chaque type de preuve </w:t>
      </w:r>
      <w:r w:rsidRPr="00143917">
        <w:t xml:space="preserve">en fonction de leur </w:t>
      </w:r>
      <w:r>
        <w:t>robustesse</w:t>
      </w:r>
      <w:r w:rsidRPr="00143917">
        <w:t>.</w:t>
      </w:r>
    </w:p>
    <w:p w14:paraId="72949AE8" w14:textId="77777777" w:rsidR="002B4485" w:rsidRDefault="002B4485" w:rsidP="002B4485">
      <w:r>
        <w:t>Une échelle des niveaux de preuve</w:t>
      </w:r>
      <w:r>
        <w:rPr>
          <w:rStyle w:val="Appelnotedebasdep"/>
        </w:rPr>
        <w:footnoteReference w:id="7"/>
      </w:r>
      <w:r>
        <w:t xml:space="preserve"> permettant d’évaluer le niveau de fiabilité d’une affirmation est proposée :</w:t>
      </w:r>
    </w:p>
    <w:p w14:paraId="4A07B090" w14:textId="77777777" w:rsidR="002B4485" w:rsidRPr="00143917" w:rsidRDefault="002B4485" w:rsidP="002B4485">
      <w:r>
        <w:rPr>
          <w:noProof/>
        </w:rPr>
        <w:drawing>
          <wp:inline distT="0" distB="0" distL="0" distR="0" wp14:anchorId="7028F462" wp14:editId="6E343EF9">
            <wp:extent cx="3483086" cy="2000011"/>
            <wp:effectExtent l="0" t="0" r="3175" b="635"/>
            <wp:docPr id="14" name="Image 14" descr="Une image contenant texte, capture d’écran, Police, nomb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Une image contenant texte, capture d’écran, Police, nombre&#10;&#10;Description générée automatiquement"/>
                    <pic:cNvPicPr/>
                  </pic:nvPicPr>
                  <pic:blipFill rotWithShape="1">
                    <a:blip r:embed="rId18"/>
                    <a:srcRect t="8923" r="18880" b="5421"/>
                    <a:stretch/>
                  </pic:blipFill>
                  <pic:spPr bwMode="auto">
                    <a:xfrm>
                      <a:off x="0" y="0"/>
                      <a:ext cx="3496582" cy="2007761"/>
                    </a:xfrm>
                    <a:prstGeom prst="rect">
                      <a:avLst/>
                    </a:prstGeom>
                    <a:ln>
                      <a:noFill/>
                    </a:ln>
                    <a:extLst>
                      <a:ext uri="{53640926-AAD7-44D8-BBD7-CCE9431645EC}">
                        <a14:shadowObscured xmlns:a14="http://schemas.microsoft.com/office/drawing/2010/main"/>
                      </a:ext>
                    </a:extLst>
                  </pic:spPr>
                </pic:pic>
              </a:graphicData>
            </a:graphic>
          </wp:inline>
        </w:drawing>
      </w:r>
    </w:p>
    <w:p w14:paraId="240D6EF0" w14:textId="77777777" w:rsidR="002B4485" w:rsidRDefault="002B4485" w:rsidP="002B4485">
      <w:r w:rsidRPr="00143917">
        <w:t>Au sommet de l'échelle</w:t>
      </w:r>
      <w:r>
        <w:t>,</w:t>
      </w:r>
      <w:r w:rsidRPr="00143917">
        <w:t xml:space="preserve"> se trouvent les preuves </w:t>
      </w:r>
      <w:r>
        <w:t>issues de démarches scientifiques</w:t>
      </w:r>
      <w:r w:rsidRPr="00143917">
        <w:t xml:space="preserve">, </w:t>
      </w:r>
      <w:r>
        <w:t xml:space="preserve">publiées dans des revues à comité de lecture, reproduites par d’autres équipes de </w:t>
      </w:r>
      <w:r>
        <w:lastRenderedPageBreak/>
        <w:t xml:space="preserve">recherche, et </w:t>
      </w:r>
      <w:r w:rsidRPr="00143917">
        <w:t>qui reposent sur des données obtenues à partir de méthodes rigoureuses, telles que des expériences contrôlées</w:t>
      </w:r>
      <w:r>
        <w:t xml:space="preserve"> </w:t>
      </w:r>
      <w:r w:rsidRPr="00143917">
        <w:t xml:space="preserve">ou des analyses statistiques </w:t>
      </w:r>
      <w:r>
        <w:t>portant sur des échantillons significatifs</w:t>
      </w:r>
      <w:r>
        <w:rPr>
          <w:rStyle w:val="Appelnotedebasdep"/>
        </w:rPr>
        <w:footnoteReference w:id="8"/>
      </w:r>
      <w:r w:rsidRPr="00143917">
        <w:t>. Ces preuves sont généralement considérées comme les plus fiables et les plus convaincantes,</w:t>
      </w:r>
      <w:r>
        <w:t xml:space="preserve"> à un moment donné,</w:t>
      </w:r>
      <w:r w:rsidRPr="00143917">
        <w:t xml:space="preserve"> </w:t>
      </w:r>
      <w:r>
        <w:t>en raison de leur caractère reproductible, universel, collectif, testable et du fait qu’on puisse les critiquer pour les améliorer</w:t>
      </w:r>
      <w:r w:rsidRPr="00143917">
        <w:t>.</w:t>
      </w:r>
      <w:r>
        <w:t xml:space="preserve"> Elles permettent de stabiliser un consensus scientifique (lorsqu’une majorité de scientifiques acceptent un énoncé, en se fondant sur des preuves solides), comme on peut en trouver dans les rapports du groupe d’experts intergouvernemental sur l’évolution du climat (GIEC). </w:t>
      </w:r>
    </w:p>
    <w:p w14:paraId="3FA497C5" w14:textId="2CFE8BC0" w:rsidR="00FA4920" w:rsidRDefault="002B4485" w:rsidP="002B4485">
      <w:r>
        <w:t>Les témoignages d’experts sont fiables s’ils s’appuient sur ce type de preuves (pensons aux médecins qui agissent selon les données issues du consensus scientifique). En revanche, notre expérience personnelle, un témoignage rapporté ou une rumeur ne peuvent constituer des preuves robustes car ils sont entachés d’erreurs présentes dans nos perceptions, intentions ou processus cognitifs (illusions, mémoire défaillante, raisonnement erroné, mensonges, déformations, etc.). Notons que, selon le contexte et l’enjeu, notre expérience personnelle ou un témoignage peuvent être suffisants pour nous assurer que ce qui est dit ou vécu est digne de confiance : pour prouver que je suis allé au cinéma, un simple témoignage suffira, mais ce même témoignage sera insuffisant pour établir la réalité d’un meurtre devant un tribunal ou l’existence d’un fantôme</w:t>
      </w:r>
      <w:r>
        <w:t>.</w:t>
      </w:r>
    </w:p>
    <w:sectPr w:rsidR="00FA49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F9BA9" w14:textId="77777777" w:rsidR="002B4485" w:rsidRDefault="002B4485" w:rsidP="002B4485">
      <w:pPr>
        <w:spacing w:before="0" w:after="0"/>
      </w:pPr>
      <w:r>
        <w:separator/>
      </w:r>
    </w:p>
  </w:endnote>
  <w:endnote w:type="continuationSeparator" w:id="0">
    <w:p w14:paraId="31B29A05" w14:textId="77777777" w:rsidR="002B4485" w:rsidRDefault="002B4485" w:rsidP="002B44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arianne Light">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arianne Medium">
    <w:panose1 w:val="02000000000000000000"/>
    <w:charset w:val="00"/>
    <w:family w:val="auto"/>
    <w:pitch w:val="variable"/>
    <w:sig w:usb0="0000000F"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DCA72" w14:textId="77777777" w:rsidR="002B4485" w:rsidRDefault="002B4485" w:rsidP="002B4485">
      <w:pPr>
        <w:spacing w:before="0" w:after="0"/>
      </w:pPr>
      <w:r>
        <w:separator/>
      </w:r>
    </w:p>
  </w:footnote>
  <w:footnote w:type="continuationSeparator" w:id="0">
    <w:p w14:paraId="3D8591CC" w14:textId="77777777" w:rsidR="002B4485" w:rsidRDefault="002B4485" w:rsidP="002B4485">
      <w:pPr>
        <w:spacing w:before="0" w:after="0"/>
      </w:pPr>
      <w:r>
        <w:continuationSeparator/>
      </w:r>
    </w:p>
  </w:footnote>
  <w:footnote w:id="1">
    <w:p w14:paraId="4250F0CF" w14:textId="77777777" w:rsidR="002B4485" w:rsidRPr="00716ECE" w:rsidRDefault="002B4485" w:rsidP="002B4485">
      <w:pPr>
        <w:shd w:val="clear" w:color="auto" w:fill="auto"/>
        <w:spacing w:before="0" w:beforeAutospacing="0" w:after="0" w:afterAutospacing="0"/>
        <w:rPr>
          <w:rFonts w:cs="Times New Roman"/>
          <w:iCs w:val="0"/>
          <w:color w:val="auto"/>
          <w:sz w:val="20"/>
          <w:szCs w:val="24"/>
        </w:rPr>
      </w:pPr>
      <w:r>
        <w:rPr>
          <w:rStyle w:val="Appelnotedebasdep"/>
        </w:rPr>
        <w:footnoteRef/>
      </w:r>
      <w:r>
        <w:t xml:space="preserve"> </w:t>
      </w:r>
      <w:r w:rsidRPr="00716ECE">
        <w:rPr>
          <w:rFonts w:cs="Times New Roman"/>
          <w:iCs w:val="0"/>
          <w:color w:val="auto"/>
          <w:sz w:val="20"/>
          <w:szCs w:val="24"/>
        </w:rPr>
        <w:t>Les nombres négatifs représentent les jours précédant la Pleine Lune.</w:t>
      </w:r>
    </w:p>
    <w:p w14:paraId="363315B5" w14:textId="77777777" w:rsidR="002B4485" w:rsidRPr="00716ECE" w:rsidRDefault="002B4485" w:rsidP="002B4485">
      <w:pPr>
        <w:shd w:val="clear" w:color="auto" w:fill="auto"/>
        <w:spacing w:before="0" w:beforeAutospacing="0" w:after="0" w:afterAutospacing="0"/>
        <w:rPr>
          <w:rFonts w:cs="Times New Roman"/>
          <w:iCs w:val="0"/>
          <w:color w:val="auto"/>
          <w:sz w:val="20"/>
          <w:szCs w:val="24"/>
        </w:rPr>
      </w:pPr>
      <w:r w:rsidRPr="00716ECE">
        <w:rPr>
          <w:rFonts w:cs="Times New Roman"/>
          <w:iCs w:val="0"/>
          <w:color w:val="auto"/>
          <w:sz w:val="20"/>
          <w:szCs w:val="24"/>
        </w:rPr>
        <w:t>Le nombre « 0 » représente le jour de la Pleine Lune.</w:t>
      </w:r>
    </w:p>
    <w:p w14:paraId="60D498CB" w14:textId="77777777" w:rsidR="002B4485" w:rsidRPr="00716ECE" w:rsidRDefault="002B4485" w:rsidP="002B4485">
      <w:pPr>
        <w:pStyle w:val="Notedebasdepage"/>
        <w:spacing w:beforeAutospacing="0" w:after="100"/>
        <w:rPr>
          <w:sz w:val="18"/>
        </w:rPr>
      </w:pPr>
      <w:r w:rsidRPr="00716ECE">
        <w:rPr>
          <w:rFonts w:cs="Times New Roman"/>
          <w:iCs w:val="0"/>
          <w:color w:val="auto"/>
          <w:szCs w:val="24"/>
        </w:rPr>
        <w:t>Les nombres positifs représentent les jours suivant la Pleine Lune.</w:t>
      </w:r>
    </w:p>
  </w:footnote>
  <w:footnote w:id="2">
    <w:p w14:paraId="56F68DFE" w14:textId="77777777" w:rsidR="002B4485" w:rsidRDefault="002B4485" w:rsidP="002B4485">
      <w:pPr>
        <w:pStyle w:val="Notedebasdepage"/>
      </w:pPr>
      <w:r>
        <w:rPr>
          <w:rStyle w:val="Appelnotedebasdep"/>
        </w:rPr>
        <w:footnoteRef/>
      </w:r>
      <w:r>
        <w:t xml:space="preserve"> Voir la rubrique « Pistes pour différencier ». </w:t>
      </w:r>
    </w:p>
  </w:footnote>
  <w:footnote w:id="3">
    <w:p w14:paraId="4BB238D7" w14:textId="77777777" w:rsidR="002B4485" w:rsidRDefault="002B4485" w:rsidP="002B4485">
      <w:pPr>
        <w:pStyle w:val="Notedebasdepage"/>
      </w:pPr>
      <w:r>
        <w:rPr>
          <w:rStyle w:val="Appelnotedebasdep"/>
        </w:rPr>
        <w:footnoteRef/>
      </w:r>
      <w:r>
        <w:t xml:space="preserve"> Voir la rubrique « Pistes pour différencier ».</w:t>
      </w:r>
    </w:p>
  </w:footnote>
  <w:footnote w:id="4">
    <w:p w14:paraId="0F3B7BB5" w14:textId="77777777" w:rsidR="002B4485" w:rsidRDefault="002B4485" w:rsidP="002B4485">
      <w:pPr>
        <w:pStyle w:val="Notedebasdepage"/>
        <w:jc w:val="both"/>
      </w:pPr>
      <w:r>
        <w:rPr>
          <w:rStyle w:val="Appelnotedebasdep"/>
        </w:rPr>
        <w:footnoteRef/>
      </w:r>
      <w:r>
        <w:t xml:space="preserve"> </w:t>
      </w:r>
      <w:r w:rsidRPr="00C1419C">
        <w:t xml:space="preserve">Le biais de cadrage se réfère à l'impact significatif que peut avoir la manière dont </w:t>
      </w:r>
      <w:r>
        <w:t>une information est présentée</w:t>
      </w:r>
      <w:r w:rsidRPr="00C1419C">
        <w:t xml:space="preserve"> sur </w:t>
      </w:r>
      <w:r>
        <w:t>l’interprétation</w:t>
      </w:r>
      <w:r w:rsidRPr="00C1419C">
        <w:t xml:space="preserve"> qui en découle</w:t>
      </w:r>
      <w:r w:rsidRPr="002D3BFC">
        <w:t>.</w:t>
      </w:r>
    </w:p>
  </w:footnote>
  <w:footnote w:id="5">
    <w:p w14:paraId="78057BEF" w14:textId="77777777" w:rsidR="002B4485" w:rsidRDefault="002B4485" w:rsidP="002B4485">
      <w:pPr>
        <w:pStyle w:val="Notedebasdepage"/>
      </w:pPr>
      <w:r>
        <w:rPr>
          <w:rStyle w:val="Appelnotedebasdep"/>
        </w:rPr>
        <w:footnoteRef/>
      </w:r>
      <w:r>
        <w:t xml:space="preserve"> Cette partie sur les écarts-types peut être considérée comme facultative ou peut constituer une piste pour différencier.</w:t>
      </w:r>
    </w:p>
  </w:footnote>
  <w:footnote w:id="6">
    <w:p w14:paraId="6560BB89" w14:textId="77777777" w:rsidR="002B4485" w:rsidRPr="000714D5" w:rsidRDefault="002B4485" w:rsidP="002B4485">
      <w:pPr>
        <w:pStyle w:val="Notedebasdepage"/>
        <w:jc w:val="both"/>
        <w:rPr>
          <w:sz w:val="18"/>
        </w:rPr>
      </w:pPr>
      <w:r w:rsidRPr="0063696D">
        <w:rPr>
          <w:rStyle w:val="Appelnotedebasdep"/>
        </w:rPr>
        <w:footnoteRef/>
      </w:r>
      <w:r w:rsidRPr="0063696D">
        <w:t xml:space="preserve"> </w:t>
      </w:r>
      <w:proofErr w:type="spellStart"/>
      <w:r w:rsidRPr="000714D5">
        <w:t>Caroti</w:t>
      </w:r>
      <w:proofErr w:type="spellEnd"/>
      <w:r w:rsidRPr="000714D5">
        <w:t xml:space="preserve">, D. (2021). </w:t>
      </w:r>
      <w:hyperlink r:id="rId1" w:history="1">
        <w:r w:rsidRPr="00A205D3">
          <w:rPr>
            <w:rStyle w:val="Lienhypertexte"/>
            <w:i/>
          </w:rPr>
          <w:t>La hiérarchie des niveaux de preuves</w:t>
        </w:r>
        <w:r w:rsidRPr="00A205D3">
          <w:rPr>
            <w:rStyle w:val="Lienhypertexte"/>
          </w:rPr>
          <w:t> </w:t>
        </w:r>
      </w:hyperlink>
    </w:p>
  </w:footnote>
  <w:footnote w:id="7">
    <w:p w14:paraId="4B0751F5" w14:textId="77777777" w:rsidR="002B4485" w:rsidRPr="00716ECE" w:rsidRDefault="002B4485" w:rsidP="002B4485">
      <w:pPr>
        <w:pStyle w:val="Notedebasdepage"/>
        <w:jc w:val="both"/>
        <w:rPr>
          <w:sz w:val="22"/>
        </w:rPr>
      </w:pPr>
      <w:r>
        <w:rPr>
          <w:rStyle w:val="Appelnotedebasdep"/>
        </w:rPr>
        <w:footnoteRef/>
      </w:r>
      <w:r>
        <w:t xml:space="preserve"> D’après </w:t>
      </w:r>
      <w:hyperlink r:id="rId2" w:history="1">
        <w:r w:rsidRPr="00A205D3">
          <w:rPr>
            <w:rStyle w:val="Lienhypertexte"/>
          </w:rPr>
          <w:t>un travail du Groupe Esprit Critique Sciences et Société </w:t>
        </w:r>
      </w:hyperlink>
      <w:r w:rsidRPr="00716ECE">
        <w:rPr>
          <w:sz w:val="22"/>
        </w:rPr>
        <w:t xml:space="preserve"> </w:t>
      </w:r>
    </w:p>
  </w:footnote>
  <w:footnote w:id="8">
    <w:p w14:paraId="72E00003" w14:textId="77777777" w:rsidR="002B4485" w:rsidRDefault="002B4485" w:rsidP="002B4485">
      <w:pPr>
        <w:pStyle w:val="Notedebasdepage"/>
        <w:jc w:val="both"/>
      </w:pPr>
      <w:r>
        <w:rPr>
          <w:rStyle w:val="Appelnotedebasdep"/>
        </w:rPr>
        <w:footnoteRef/>
      </w:r>
      <w:r>
        <w:t xml:space="preserve"> U</w:t>
      </w:r>
      <w:r w:rsidRPr="002D3BFC">
        <w:t>n échantillon significatif est assez grand et diversifié pour permettre des analyses statistiques fiables et pour que les conclusions tirées de cet échantillon puissent être extrapolées à la population dont il est issu.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1415"/>
    <w:multiLevelType w:val="hybridMultilevel"/>
    <w:tmpl w:val="60DC4170"/>
    <w:lvl w:ilvl="0" w:tplc="EE40B46E">
      <w:numFmt w:val="bullet"/>
      <w:lvlText w:val=""/>
      <w:lvlJc w:val="left"/>
      <w:pPr>
        <w:ind w:left="720" w:hanging="360"/>
      </w:pPr>
      <w:rPr>
        <w:rFonts w:ascii="Symbol" w:eastAsia="Times New Roman" w:hAnsi="Symbol" w:cs="Times New Roman"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6A4B8D"/>
    <w:multiLevelType w:val="hybridMultilevel"/>
    <w:tmpl w:val="D6C4C272"/>
    <w:lvl w:ilvl="0" w:tplc="F334CDF6">
      <w:start w:val="1"/>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07057C"/>
    <w:multiLevelType w:val="hybridMultilevel"/>
    <w:tmpl w:val="65000FDA"/>
    <w:lvl w:ilvl="0" w:tplc="EE40B46E">
      <w:numFmt w:val="bullet"/>
      <w:lvlText w:val=""/>
      <w:lvlJc w:val="left"/>
      <w:pPr>
        <w:ind w:left="720" w:hanging="360"/>
      </w:pPr>
      <w:rPr>
        <w:rFonts w:ascii="Symbol" w:eastAsia="Times New Roman" w:hAnsi="Symbol" w:cs="Times New Roman" w:hint="default"/>
        <w:color w:val="auto"/>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F730367"/>
    <w:multiLevelType w:val="hybridMultilevel"/>
    <w:tmpl w:val="16F2BF62"/>
    <w:lvl w:ilvl="0" w:tplc="CD6C5DAE">
      <w:start w:val="1"/>
      <w:numFmt w:val="bullet"/>
      <w:pStyle w:val="Tableautirets"/>
      <w:lvlText w:val="–"/>
      <w:lvlJc w:val="left"/>
      <w:pPr>
        <w:ind w:left="720" w:hanging="360"/>
      </w:pPr>
      <w:rPr>
        <w:rFonts w:ascii="Marianne Light" w:hAnsi="Marianne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9C90F1F"/>
    <w:multiLevelType w:val="multilevel"/>
    <w:tmpl w:val="113EC46E"/>
    <w:lvl w:ilvl="0">
      <w:start w:val="1"/>
      <w:numFmt w:val="bullet"/>
      <w:pStyle w:val="Tableaupuces"/>
      <w:isLgl/>
      <w:lvlText w:val=""/>
      <w:lvlJc w:val="left"/>
      <w:pPr>
        <w:tabs>
          <w:tab w:val="num" w:pos="0"/>
        </w:tabs>
        <w:ind w:left="720" w:hanging="360"/>
      </w:pPr>
      <w:rPr>
        <w:rFonts w:ascii="Symbol" w:hAnsi="Symbol" w:cs="Symbol" w:hint="default"/>
      </w:rPr>
    </w:lvl>
    <w:lvl w:ilvl="1">
      <w:start w:val="1"/>
      <w:numFmt w:val="bullet"/>
      <w:isLgl/>
      <w:lvlText w:val="o"/>
      <w:lvlJc w:val="left"/>
      <w:pPr>
        <w:tabs>
          <w:tab w:val="num" w:pos="0"/>
        </w:tabs>
        <w:ind w:left="1440" w:hanging="360"/>
      </w:pPr>
      <w:rPr>
        <w:rFonts w:ascii="Courier New" w:hAnsi="Courier New" w:cs="Courier New" w:hint="default"/>
      </w:rPr>
    </w:lvl>
    <w:lvl w:ilvl="2">
      <w:start w:val="1"/>
      <w:numFmt w:val="bullet"/>
      <w:isLgl/>
      <w:lvlText w:val=""/>
      <w:lvlJc w:val="left"/>
      <w:pPr>
        <w:tabs>
          <w:tab w:val="num" w:pos="0"/>
        </w:tabs>
        <w:ind w:left="2160" w:hanging="360"/>
      </w:pPr>
      <w:rPr>
        <w:rFonts w:ascii="Wingdings" w:hAnsi="Wingdings" w:cs="Wingdings" w:hint="default"/>
      </w:rPr>
    </w:lvl>
    <w:lvl w:ilvl="3">
      <w:start w:val="1"/>
      <w:numFmt w:val="bullet"/>
      <w:isLgl/>
      <w:lvlText w:val=""/>
      <w:lvlJc w:val="left"/>
      <w:pPr>
        <w:tabs>
          <w:tab w:val="num" w:pos="0"/>
        </w:tabs>
        <w:ind w:left="2880" w:hanging="360"/>
      </w:pPr>
      <w:rPr>
        <w:rFonts w:ascii="Symbol" w:hAnsi="Symbol" w:cs="Symbol" w:hint="default"/>
      </w:rPr>
    </w:lvl>
    <w:lvl w:ilvl="4">
      <w:start w:val="1"/>
      <w:numFmt w:val="bullet"/>
      <w:isLgl/>
      <w:lvlText w:val="o"/>
      <w:lvlJc w:val="left"/>
      <w:pPr>
        <w:tabs>
          <w:tab w:val="num" w:pos="0"/>
        </w:tabs>
        <w:ind w:left="3600" w:hanging="360"/>
      </w:pPr>
      <w:rPr>
        <w:rFonts w:ascii="Courier New" w:hAnsi="Courier New" w:cs="Courier New" w:hint="default"/>
      </w:rPr>
    </w:lvl>
    <w:lvl w:ilvl="5">
      <w:start w:val="1"/>
      <w:numFmt w:val="bullet"/>
      <w:isLgl/>
      <w:lvlText w:val=""/>
      <w:lvlJc w:val="left"/>
      <w:pPr>
        <w:tabs>
          <w:tab w:val="num" w:pos="0"/>
        </w:tabs>
        <w:ind w:left="4320" w:hanging="360"/>
      </w:pPr>
      <w:rPr>
        <w:rFonts w:ascii="Wingdings" w:hAnsi="Wingdings" w:cs="Wingdings" w:hint="default"/>
      </w:rPr>
    </w:lvl>
    <w:lvl w:ilvl="6">
      <w:start w:val="1"/>
      <w:numFmt w:val="bullet"/>
      <w:isLgl/>
      <w:lvlText w:val=""/>
      <w:lvlJc w:val="left"/>
      <w:pPr>
        <w:tabs>
          <w:tab w:val="num" w:pos="0"/>
        </w:tabs>
        <w:ind w:left="5040" w:hanging="360"/>
      </w:pPr>
      <w:rPr>
        <w:rFonts w:ascii="Symbol" w:hAnsi="Symbol" w:cs="Symbol" w:hint="default"/>
      </w:rPr>
    </w:lvl>
    <w:lvl w:ilvl="7">
      <w:start w:val="1"/>
      <w:numFmt w:val="bullet"/>
      <w:isLgl/>
      <w:lvlText w:val="o"/>
      <w:lvlJc w:val="left"/>
      <w:pPr>
        <w:tabs>
          <w:tab w:val="num" w:pos="0"/>
        </w:tabs>
        <w:ind w:left="5760" w:hanging="360"/>
      </w:pPr>
      <w:rPr>
        <w:rFonts w:ascii="Courier New" w:hAnsi="Courier New" w:cs="Courier New" w:hint="default"/>
      </w:rPr>
    </w:lvl>
    <w:lvl w:ilvl="8">
      <w:start w:val="1"/>
      <w:numFmt w:val="bullet"/>
      <w:isLgl/>
      <w:lvlText w:val=""/>
      <w:lvlJc w:val="left"/>
      <w:pPr>
        <w:tabs>
          <w:tab w:val="num" w:pos="0"/>
        </w:tabs>
        <w:ind w:left="6480" w:hanging="360"/>
      </w:pPr>
      <w:rPr>
        <w:rFonts w:ascii="Wingdings" w:hAnsi="Wingdings" w:cs="Wingdings" w:hint="default"/>
      </w:rPr>
    </w:lvl>
  </w:abstractNum>
  <w:abstractNum w:abstractNumId="5" w15:restartNumberingAfterBreak="0">
    <w:nsid w:val="4AA56E04"/>
    <w:multiLevelType w:val="hybridMultilevel"/>
    <w:tmpl w:val="B198C91A"/>
    <w:lvl w:ilvl="0" w:tplc="E1949CC4">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9FC4553"/>
    <w:multiLevelType w:val="hybridMultilevel"/>
    <w:tmpl w:val="9E26AE90"/>
    <w:lvl w:ilvl="0" w:tplc="3B407546">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38241269">
    <w:abstractNumId w:val="1"/>
  </w:num>
  <w:num w:numId="2" w16cid:durableId="2038848938">
    <w:abstractNumId w:val="6"/>
  </w:num>
  <w:num w:numId="3" w16cid:durableId="1075396593">
    <w:abstractNumId w:val="5"/>
  </w:num>
  <w:num w:numId="4" w16cid:durableId="419643616">
    <w:abstractNumId w:val="2"/>
  </w:num>
  <w:num w:numId="5" w16cid:durableId="417019514">
    <w:abstractNumId w:val="4"/>
  </w:num>
  <w:num w:numId="6" w16cid:durableId="1906067662">
    <w:abstractNumId w:val="3"/>
  </w:num>
  <w:num w:numId="7" w16cid:durableId="2100566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485"/>
    <w:rsid w:val="000C3BC0"/>
    <w:rsid w:val="002823FA"/>
    <w:rsid w:val="002B4485"/>
    <w:rsid w:val="00347E7B"/>
    <w:rsid w:val="006013ED"/>
    <w:rsid w:val="0062663D"/>
    <w:rsid w:val="00DC3310"/>
    <w:rsid w:val="00FA4920"/>
    <w:rsid w:val="00FF5D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7CC7F"/>
  <w15:chartTrackingRefBased/>
  <w15:docId w15:val="{C6F11351-D979-4268-A8E1-5E07A39D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485"/>
    <w:pPr>
      <w:shd w:val="clear" w:color="auto" w:fill="FFFFFF"/>
      <w:spacing w:before="100" w:beforeAutospacing="1" w:after="100" w:afterAutospacing="1"/>
    </w:pPr>
    <w:rPr>
      <w:rFonts w:ascii="Marianne" w:eastAsia="Times New Roman" w:hAnsi="Marianne" w:cs="Arial"/>
      <w:iCs/>
      <w:color w:val="252525"/>
      <w:sz w:val="22"/>
      <w:szCs w:val="22"/>
      <w:lang w:eastAsia="fr-FR"/>
    </w:rPr>
  </w:style>
  <w:style w:type="paragraph" w:styleId="Titre1">
    <w:name w:val="heading 1"/>
    <w:basedOn w:val="Normal"/>
    <w:next w:val="Normal"/>
    <w:link w:val="Titre1Car"/>
    <w:uiPriority w:val="9"/>
    <w:qFormat/>
    <w:rsid w:val="002B44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2B44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62663D"/>
    <w:pPr>
      <w:keepNext/>
      <w:spacing w:before="120"/>
      <w:outlineLvl w:val="2"/>
    </w:pPr>
    <w:rPr>
      <w:b/>
    </w:rPr>
  </w:style>
  <w:style w:type="paragraph" w:styleId="Titre4">
    <w:name w:val="heading 4"/>
    <w:basedOn w:val="Normal"/>
    <w:next w:val="Normal"/>
    <w:link w:val="Titre4Car"/>
    <w:uiPriority w:val="9"/>
    <w:semiHidden/>
    <w:unhideWhenUsed/>
    <w:qFormat/>
    <w:rsid w:val="002B4485"/>
    <w:pPr>
      <w:keepNext/>
      <w:keepLines/>
      <w:spacing w:before="80" w:after="40"/>
      <w:outlineLvl w:val="3"/>
    </w:pPr>
    <w:rPr>
      <w:rFonts w:asciiTheme="minorHAnsi" w:eastAsiaTheme="majorEastAsia" w:hAnsiTheme="minorHAnsi" w:cstheme="majorBidi"/>
      <w:i/>
      <w:iCs w:val="0"/>
      <w:color w:val="0F4761" w:themeColor="accent1" w:themeShade="BF"/>
    </w:rPr>
  </w:style>
  <w:style w:type="paragraph" w:styleId="Titre5">
    <w:name w:val="heading 5"/>
    <w:basedOn w:val="Normal"/>
    <w:next w:val="Normal"/>
    <w:link w:val="Titre5Car"/>
    <w:uiPriority w:val="9"/>
    <w:semiHidden/>
    <w:unhideWhenUsed/>
    <w:qFormat/>
    <w:rsid w:val="002B4485"/>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2B4485"/>
    <w:pPr>
      <w:keepNext/>
      <w:keepLines/>
      <w:spacing w:before="40"/>
      <w:outlineLvl w:val="5"/>
    </w:pPr>
    <w:rPr>
      <w:rFonts w:asciiTheme="minorHAnsi" w:eastAsiaTheme="majorEastAsia" w:hAnsiTheme="minorHAnsi" w:cstheme="majorBidi"/>
      <w:i/>
      <w:iCs w:val="0"/>
      <w:color w:val="595959" w:themeColor="text1" w:themeTint="A6"/>
    </w:rPr>
  </w:style>
  <w:style w:type="paragraph" w:styleId="Titre7">
    <w:name w:val="heading 7"/>
    <w:basedOn w:val="Normal"/>
    <w:next w:val="Normal"/>
    <w:link w:val="Titre7Car"/>
    <w:uiPriority w:val="9"/>
    <w:semiHidden/>
    <w:unhideWhenUsed/>
    <w:qFormat/>
    <w:rsid w:val="002B4485"/>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2B4485"/>
    <w:pPr>
      <w:keepNext/>
      <w:keepLines/>
      <w:outlineLvl w:val="7"/>
    </w:pPr>
    <w:rPr>
      <w:rFonts w:asciiTheme="minorHAnsi" w:eastAsiaTheme="majorEastAsia" w:hAnsiTheme="minorHAnsi" w:cstheme="majorBidi"/>
      <w:i/>
      <w:iCs w:val="0"/>
      <w:color w:val="272727" w:themeColor="text1" w:themeTint="D8"/>
    </w:rPr>
  </w:style>
  <w:style w:type="paragraph" w:styleId="Titre9">
    <w:name w:val="heading 9"/>
    <w:basedOn w:val="Normal"/>
    <w:next w:val="Normal"/>
    <w:link w:val="Titre9Car"/>
    <w:uiPriority w:val="9"/>
    <w:semiHidden/>
    <w:unhideWhenUsed/>
    <w:qFormat/>
    <w:rsid w:val="002B4485"/>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
    <w:name w:val="Style1"/>
    <w:basedOn w:val="Titre3"/>
    <w:link w:val="Style1Car"/>
    <w:qFormat/>
    <w:rsid w:val="0062663D"/>
    <w:rPr>
      <w:rFonts w:ascii="Arial" w:hAnsi="Arial"/>
      <w:sz w:val="24"/>
    </w:rPr>
  </w:style>
  <w:style w:type="character" w:customStyle="1" w:styleId="Style1Car">
    <w:name w:val="Style1 Car"/>
    <w:basedOn w:val="Titre3Car"/>
    <w:link w:val="Style1"/>
    <w:rsid w:val="0062663D"/>
    <w:rPr>
      <w:rFonts w:ascii="Arial" w:hAnsi="Arial" w:cs="Arial"/>
      <w:b/>
      <w:sz w:val="24"/>
      <w:szCs w:val="24"/>
    </w:rPr>
  </w:style>
  <w:style w:type="character" w:customStyle="1" w:styleId="Titre3Car">
    <w:name w:val="Titre 3 Car"/>
    <w:basedOn w:val="Policepardfaut"/>
    <w:link w:val="Titre3"/>
    <w:uiPriority w:val="9"/>
    <w:rsid w:val="0062663D"/>
    <w:rPr>
      <w:rFonts w:ascii="Marianne" w:hAnsi="Marianne"/>
      <w:b/>
    </w:rPr>
  </w:style>
  <w:style w:type="character" w:styleId="Lienhypertexte">
    <w:name w:val="Hyperlink"/>
    <w:basedOn w:val="Policepardfaut"/>
    <w:uiPriority w:val="99"/>
    <w:unhideWhenUsed/>
    <w:rsid w:val="0062663D"/>
    <w:rPr>
      <w:color w:val="467886" w:themeColor="hyperlink"/>
      <w:u w:val="single"/>
    </w:rPr>
  </w:style>
  <w:style w:type="character" w:styleId="Lienhypertextesuivivisit">
    <w:name w:val="FollowedHyperlink"/>
    <w:basedOn w:val="Policepardfaut"/>
    <w:uiPriority w:val="99"/>
    <w:semiHidden/>
    <w:unhideWhenUsed/>
    <w:rsid w:val="0062663D"/>
    <w:rPr>
      <w:color w:val="96607D" w:themeColor="followedHyperlink"/>
      <w:u w:val="single"/>
    </w:rPr>
  </w:style>
  <w:style w:type="paragraph" w:styleId="NormalWeb">
    <w:name w:val="Normal (Web)"/>
    <w:basedOn w:val="Normal"/>
    <w:uiPriority w:val="99"/>
    <w:unhideWhenUsed/>
    <w:rsid w:val="0062663D"/>
    <w:pPr>
      <w:spacing w:after="142" w:line="276" w:lineRule="auto"/>
    </w:pPr>
    <w:rPr>
      <w:rFonts w:ascii="Times New Roman" w:hAnsi="Times New Roman"/>
    </w:rPr>
  </w:style>
  <w:style w:type="character" w:styleId="Textedelespacerserv">
    <w:name w:val="Placeholder Text"/>
    <w:basedOn w:val="Policepardfaut"/>
    <w:uiPriority w:val="99"/>
    <w:semiHidden/>
    <w:rsid w:val="0062663D"/>
    <w:rPr>
      <w:color w:val="666666"/>
    </w:rPr>
  </w:style>
  <w:style w:type="paragraph" w:styleId="Paragraphedeliste">
    <w:name w:val="List Paragraph"/>
    <w:basedOn w:val="Normal"/>
    <w:uiPriority w:val="34"/>
    <w:qFormat/>
    <w:rsid w:val="0062663D"/>
    <w:pPr>
      <w:ind w:left="720"/>
      <w:contextualSpacing/>
    </w:pPr>
  </w:style>
  <w:style w:type="character" w:styleId="Mentionnonrsolue">
    <w:name w:val="Unresolved Mention"/>
    <w:basedOn w:val="Policepardfaut"/>
    <w:uiPriority w:val="99"/>
    <w:semiHidden/>
    <w:unhideWhenUsed/>
    <w:rsid w:val="0062663D"/>
    <w:rPr>
      <w:color w:val="605E5C"/>
      <w:shd w:val="clear" w:color="auto" w:fill="E1DFDD"/>
    </w:rPr>
  </w:style>
  <w:style w:type="paragraph" w:customStyle="1" w:styleId="Style2">
    <w:name w:val="Style2"/>
    <w:basedOn w:val="Titre3"/>
    <w:link w:val="Style2Car"/>
    <w:autoRedefine/>
    <w:qFormat/>
    <w:rsid w:val="0062663D"/>
    <w:pPr>
      <w:spacing w:after="240" w:line="260" w:lineRule="atLeast"/>
    </w:pPr>
    <w:rPr>
      <w:rFonts w:ascii="Arial" w:hAnsi="Arial"/>
    </w:rPr>
  </w:style>
  <w:style w:type="character" w:customStyle="1" w:styleId="Style2Car">
    <w:name w:val="Style2 Car"/>
    <w:basedOn w:val="Titre3Car"/>
    <w:link w:val="Style2"/>
    <w:rsid w:val="0062663D"/>
    <w:rPr>
      <w:rFonts w:ascii="Arial" w:hAnsi="Arial" w:cs="Arial"/>
      <w:b/>
      <w:sz w:val="22"/>
      <w:szCs w:val="22"/>
    </w:rPr>
  </w:style>
  <w:style w:type="character" w:customStyle="1" w:styleId="Titre1Car">
    <w:name w:val="Titre 1 Car"/>
    <w:basedOn w:val="Policepardfaut"/>
    <w:link w:val="Titre1"/>
    <w:uiPriority w:val="9"/>
    <w:rsid w:val="002B448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2B4485"/>
    <w:rPr>
      <w:rFonts w:asciiTheme="majorHAnsi" w:eastAsiaTheme="majorEastAsia" w:hAnsiTheme="majorHAnsi" w:cstheme="majorBidi"/>
      <w:color w:val="0F4761" w:themeColor="accent1" w:themeShade="BF"/>
      <w:sz w:val="32"/>
      <w:szCs w:val="32"/>
    </w:rPr>
  </w:style>
  <w:style w:type="character" w:customStyle="1" w:styleId="Titre4Car">
    <w:name w:val="Titre 4 Car"/>
    <w:basedOn w:val="Policepardfaut"/>
    <w:link w:val="Titre4"/>
    <w:uiPriority w:val="9"/>
    <w:semiHidden/>
    <w:rsid w:val="002B4485"/>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2B4485"/>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2B4485"/>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2B4485"/>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2B4485"/>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2B4485"/>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2B448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B448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2B448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2B4485"/>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2B4485"/>
    <w:pPr>
      <w:spacing w:before="160" w:after="160"/>
      <w:jc w:val="center"/>
    </w:pPr>
    <w:rPr>
      <w:i/>
      <w:iCs w:val="0"/>
      <w:color w:val="404040" w:themeColor="text1" w:themeTint="BF"/>
    </w:rPr>
  </w:style>
  <w:style w:type="character" w:customStyle="1" w:styleId="CitationCar">
    <w:name w:val="Citation Car"/>
    <w:basedOn w:val="Policepardfaut"/>
    <w:link w:val="Citation"/>
    <w:uiPriority w:val="29"/>
    <w:rsid w:val="002B4485"/>
    <w:rPr>
      <w:i/>
      <w:iCs/>
      <w:color w:val="404040" w:themeColor="text1" w:themeTint="BF"/>
    </w:rPr>
  </w:style>
  <w:style w:type="character" w:styleId="Accentuationintense">
    <w:name w:val="Intense Emphasis"/>
    <w:basedOn w:val="Policepardfaut"/>
    <w:uiPriority w:val="21"/>
    <w:qFormat/>
    <w:rsid w:val="002B4485"/>
    <w:rPr>
      <w:i/>
      <w:iCs/>
      <w:color w:val="0F4761" w:themeColor="accent1" w:themeShade="BF"/>
    </w:rPr>
  </w:style>
  <w:style w:type="paragraph" w:styleId="Citationintense">
    <w:name w:val="Intense Quote"/>
    <w:basedOn w:val="Normal"/>
    <w:next w:val="Normal"/>
    <w:link w:val="CitationintenseCar"/>
    <w:uiPriority w:val="30"/>
    <w:qFormat/>
    <w:rsid w:val="002B4485"/>
    <w:pPr>
      <w:pBdr>
        <w:top w:val="single" w:sz="4" w:space="10" w:color="0F4761" w:themeColor="accent1" w:themeShade="BF"/>
        <w:bottom w:val="single" w:sz="4" w:space="10" w:color="0F4761" w:themeColor="accent1" w:themeShade="BF"/>
      </w:pBdr>
      <w:spacing w:before="360" w:after="360"/>
      <w:ind w:left="864" w:right="864"/>
      <w:jc w:val="center"/>
    </w:pPr>
    <w:rPr>
      <w:i/>
      <w:iCs w:val="0"/>
      <w:color w:val="0F4761" w:themeColor="accent1" w:themeShade="BF"/>
    </w:rPr>
  </w:style>
  <w:style w:type="character" w:customStyle="1" w:styleId="CitationintenseCar">
    <w:name w:val="Citation intense Car"/>
    <w:basedOn w:val="Policepardfaut"/>
    <w:link w:val="Citationintense"/>
    <w:uiPriority w:val="30"/>
    <w:rsid w:val="002B4485"/>
    <w:rPr>
      <w:i/>
      <w:iCs/>
      <w:color w:val="0F4761" w:themeColor="accent1" w:themeShade="BF"/>
    </w:rPr>
  </w:style>
  <w:style w:type="character" w:styleId="Rfrenceintense">
    <w:name w:val="Intense Reference"/>
    <w:basedOn w:val="Policepardfaut"/>
    <w:uiPriority w:val="32"/>
    <w:qFormat/>
    <w:rsid w:val="002B4485"/>
    <w:rPr>
      <w:b/>
      <w:bCs/>
      <w:smallCaps/>
      <w:color w:val="0F4761" w:themeColor="accent1" w:themeShade="BF"/>
      <w:spacing w:val="5"/>
    </w:rPr>
  </w:style>
  <w:style w:type="paragraph" w:customStyle="1" w:styleId="Encadrfond">
    <w:name w:val="Encadré fond"/>
    <w:basedOn w:val="Normal"/>
    <w:qFormat/>
    <w:rsid w:val="002B4485"/>
    <w:pPr>
      <w:shd w:val="clear" w:color="auto" w:fill="CFD5E8"/>
    </w:pPr>
  </w:style>
  <w:style w:type="paragraph" w:styleId="Notedebasdepage">
    <w:name w:val="footnote text"/>
    <w:basedOn w:val="Normal"/>
    <w:link w:val="NotedebasdepageCar"/>
    <w:uiPriority w:val="99"/>
    <w:semiHidden/>
    <w:unhideWhenUsed/>
    <w:rsid w:val="002B4485"/>
    <w:pPr>
      <w:spacing w:before="0" w:after="0"/>
    </w:pPr>
    <w:rPr>
      <w:sz w:val="20"/>
      <w:szCs w:val="20"/>
    </w:rPr>
  </w:style>
  <w:style w:type="character" w:customStyle="1" w:styleId="NotedebasdepageCar">
    <w:name w:val="Note de bas de page Car"/>
    <w:basedOn w:val="Policepardfaut"/>
    <w:link w:val="Notedebasdepage"/>
    <w:uiPriority w:val="99"/>
    <w:semiHidden/>
    <w:rsid w:val="002B4485"/>
    <w:rPr>
      <w:rFonts w:ascii="Marianne" w:eastAsia="Times New Roman" w:hAnsi="Marianne" w:cs="Arial"/>
      <w:iCs/>
      <w:color w:val="252525"/>
      <w:shd w:val="clear" w:color="auto" w:fill="FFFFFF"/>
      <w:lang w:eastAsia="fr-FR"/>
    </w:rPr>
  </w:style>
  <w:style w:type="character" w:styleId="Appelnotedebasdep">
    <w:name w:val="footnote reference"/>
    <w:basedOn w:val="Policepardfaut"/>
    <w:uiPriority w:val="99"/>
    <w:semiHidden/>
    <w:unhideWhenUsed/>
    <w:rsid w:val="002B4485"/>
    <w:rPr>
      <w:vertAlign w:val="superscript"/>
    </w:rPr>
  </w:style>
  <w:style w:type="table" w:customStyle="1" w:styleId="TableauRA">
    <w:name w:val="Tableau RA"/>
    <w:basedOn w:val="TableauNormal"/>
    <w:uiPriority w:val="99"/>
    <w:rsid w:val="002B4485"/>
    <w:rPr>
      <w:rFonts w:ascii="Marianne Light" w:eastAsiaTheme="minorEastAsia" w:hAnsi="Marianne Light" w:cstheme="minorBidi"/>
      <w:sz w:val="18"/>
      <w:szCs w:val="22"/>
      <w:lang w:eastAsia="zh-CN"/>
    </w:rPr>
    <w:tblPr>
      <w:tblBorders>
        <w:insideH w:val="single" w:sz="4" w:space="0" w:color="215479"/>
        <w:insideV w:val="single" w:sz="4" w:space="0" w:color="215479"/>
      </w:tblBorders>
      <w:tblCellMar>
        <w:left w:w="28" w:type="dxa"/>
        <w:right w:w="28" w:type="dxa"/>
      </w:tblCellMar>
    </w:tblPr>
    <w:tcPr>
      <w:shd w:val="clear" w:color="auto" w:fill="auto"/>
    </w:tcPr>
    <w:tblStylePr w:type="firstRow">
      <w:rPr>
        <w:rFonts w:ascii="Marianne Light" w:hAnsi="Marianne Light"/>
        <w:b w:val="0"/>
        <w:color w:val="FFFFFF" w:themeColor="background1"/>
        <w:sz w:val="20"/>
      </w:rPr>
      <w:tblPr/>
      <w:tcPr>
        <w:shd w:val="clear" w:color="auto" w:fill="597F9B"/>
      </w:tcPr>
    </w:tblStylePr>
  </w:style>
  <w:style w:type="paragraph" w:customStyle="1" w:styleId="Tableaucontenu">
    <w:name w:val="Tableau contenu"/>
    <w:basedOn w:val="Normal"/>
    <w:qFormat/>
    <w:rsid w:val="002B4485"/>
    <w:pPr>
      <w:shd w:val="clear" w:color="auto" w:fill="auto"/>
      <w:spacing w:before="40" w:beforeAutospacing="0" w:after="40" w:afterAutospacing="0" w:line="260" w:lineRule="atLeast"/>
    </w:pPr>
    <w:rPr>
      <w:rFonts w:ascii="Marianne Light" w:eastAsiaTheme="minorHAnsi" w:hAnsi="Marianne Light" w:cstheme="minorBidi"/>
      <w:iCs w:val="0"/>
      <w:color w:val="auto"/>
      <w:sz w:val="20"/>
    </w:rPr>
  </w:style>
  <w:style w:type="paragraph" w:customStyle="1" w:styleId="Tableauentte">
    <w:name w:val="Tableau entête"/>
    <w:basedOn w:val="Tableaucontenu"/>
    <w:qFormat/>
    <w:rsid w:val="002B4485"/>
    <w:rPr>
      <w:b/>
    </w:rPr>
  </w:style>
  <w:style w:type="paragraph" w:customStyle="1" w:styleId="Tableaupuces">
    <w:name w:val="Tableau puces"/>
    <w:basedOn w:val="Paragraphedeliste"/>
    <w:qFormat/>
    <w:rsid w:val="002B4485"/>
    <w:pPr>
      <w:numPr>
        <w:numId w:val="5"/>
      </w:numPr>
      <w:tabs>
        <w:tab w:val="clear" w:pos="0"/>
        <w:tab w:val="num" w:pos="360"/>
      </w:tabs>
      <w:spacing w:before="40" w:after="40" w:line="260" w:lineRule="atLeast"/>
      <w:ind w:left="170" w:hanging="170"/>
      <w:contextualSpacing w:val="0"/>
    </w:pPr>
    <w:rPr>
      <w:rFonts w:ascii="Marianne Light" w:hAnsi="Marianne Light" w:cstheme="minorBidi"/>
    </w:rPr>
  </w:style>
  <w:style w:type="paragraph" w:customStyle="1" w:styleId="Tableautirets">
    <w:name w:val="Tableau tirets"/>
    <w:basedOn w:val="Tableaucontenu"/>
    <w:qFormat/>
    <w:rsid w:val="002B4485"/>
    <w:pPr>
      <w:numPr>
        <w:numId w:val="6"/>
      </w:numPr>
      <w:ind w:left="170" w:hanging="170"/>
    </w:pPr>
  </w:style>
  <w:style w:type="table" w:styleId="Grilledutableau">
    <w:name w:val="Table Grid"/>
    <w:basedOn w:val="TableauNormal"/>
    <w:uiPriority w:val="39"/>
    <w:rsid w:val="002B4485"/>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iPriority w:val="35"/>
    <w:unhideWhenUsed/>
    <w:qFormat/>
    <w:rsid w:val="002B4485"/>
    <w:pPr>
      <w:spacing w:before="0" w:after="200"/>
    </w:pPr>
    <w:rPr>
      <w:i/>
      <w:iCs w:val="0"/>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hyperlink" Target="http://clea-astro.eu/vieclea/productions-recentes/hs13/Naissances-PL-sur%2046%20ans-569%20lunaisons.xls" TargetMode="External"/><Relationship Id="rId12" Type="http://schemas.openxmlformats.org/officeDocument/2006/relationships/chart" Target="charts/chart1.xml"/><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hyperlink" Target="https://upload.wikimedia.org/wikipedia/commons/c/c1/Cancer_smoking_lung_cancer_correlation_from_NIH-fr.sv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f-astronomie.fr/a-propos-des-influences-de-la-lune/" TargetMode="External"/><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edrenche.fr/mais-au-fait-y-a-t-il-plus-de-naissances-lors-de-la-pleine-lune/" TargetMode="Externa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s://www.pedagogie.ac-aix-marseille.fr/jcms/c_11028863/fr/le-groupe-de-travail-esprit-critique-sciences-et-societe" TargetMode="External"/><Relationship Id="rId1" Type="http://schemas.openxmlformats.org/officeDocument/2006/relationships/hyperlink" Target="https://www.afis.org/La-hierarchie-des-niveaux-de-preuve"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F:\z&#233;t&#233;tique\Cortex\CorteX%20et%20formation%20des%20profs\CMI%20PC\Prod%20ressources%20ESEC\Lune%20et%20naissances\Naissances%20et%20lunaisons%20s&#233;quence.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caroti\Documents\CMI%20PC\Prod%20ressources%20ESEC\Lune\Naissances%20et%20lunaisons%20s&#233;quence.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fr-FR" sz="1200" b="1"/>
              <a:t>Nombre de naissances cumulées en France sur 46 ans (1968-2013) par jour de lunaison </a:t>
            </a:r>
            <a:r>
              <a:rPr lang="fr-FR" sz="1200" b="1" baseline="0"/>
              <a:t>(0 = pleine Lune)</a:t>
            </a:r>
            <a:endParaRPr lang="fr-FR" sz="1200" b="1"/>
          </a:p>
        </c:rich>
      </c:tx>
      <c:overlay val="0"/>
      <c:spPr>
        <a:noFill/>
        <a:ln w="25400">
          <a:noFill/>
        </a:ln>
      </c:spPr>
    </c:title>
    <c:autoTitleDeleted val="0"/>
    <c:plotArea>
      <c:layout>
        <c:manualLayout>
          <c:layoutTarget val="inner"/>
          <c:xMode val="edge"/>
          <c:yMode val="edge"/>
          <c:x val="2.1523159494687888E-2"/>
          <c:y val="0.13680175467577044"/>
          <c:w val="0.96811627880746642"/>
          <c:h val="0.82057058974751351"/>
        </c:manualLayout>
      </c:layout>
      <c:scatterChart>
        <c:scatterStyle val="lineMarker"/>
        <c:varyColors val="0"/>
        <c:ser>
          <c:idx val="0"/>
          <c:order val="0"/>
          <c:tx>
            <c:v>PL</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ans-lunaisons'!$C$3:$AE$3</c:f>
              <c:numCache>
                <c:formatCode>#,##0</c:formatCode>
                <c:ptCount val="29"/>
                <c:pt idx="0">
                  <c:v>1209704</c:v>
                </c:pt>
                <c:pt idx="1">
                  <c:v>1212500</c:v>
                </c:pt>
                <c:pt idx="2">
                  <c:v>1211217</c:v>
                </c:pt>
                <c:pt idx="3">
                  <c:v>1210525</c:v>
                </c:pt>
                <c:pt idx="4">
                  <c:v>1207804</c:v>
                </c:pt>
                <c:pt idx="5">
                  <c:v>1210982</c:v>
                </c:pt>
                <c:pt idx="6">
                  <c:v>1208604</c:v>
                </c:pt>
                <c:pt idx="7">
                  <c:v>1209251</c:v>
                </c:pt>
                <c:pt idx="8">
                  <c:v>1205257</c:v>
                </c:pt>
                <c:pt idx="9">
                  <c:v>1206884</c:v>
                </c:pt>
                <c:pt idx="10">
                  <c:v>1210437</c:v>
                </c:pt>
                <c:pt idx="11">
                  <c:v>1207208</c:v>
                </c:pt>
                <c:pt idx="12">
                  <c:v>1209202</c:v>
                </c:pt>
                <c:pt idx="13">
                  <c:v>1209805</c:v>
                </c:pt>
                <c:pt idx="14">
                  <c:v>1217329</c:v>
                </c:pt>
                <c:pt idx="15">
                  <c:v>1215653</c:v>
                </c:pt>
                <c:pt idx="16">
                  <c:v>1212289</c:v>
                </c:pt>
                <c:pt idx="17">
                  <c:v>1210093</c:v>
                </c:pt>
                <c:pt idx="18">
                  <c:v>1209077</c:v>
                </c:pt>
                <c:pt idx="19">
                  <c:v>1208689</c:v>
                </c:pt>
                <c:pt idx="20">
                  <c:v>1208533</c:v>
                </c:pt>
                <c:pt idx="21">
                  <c:v>1210667</c:v>
                </c:pt>
                <c:pt idx="22">
                  <c:v>1211321</c:v>
                </c:pt>
                <c:pt idx="23">
                  <c:v>1211399</c:v>
                </c:pt>
                <c:pt idx="24">
                  <c:v>1210589</c:v>
                </c:pt>
                <c:pt idx="25">
                  <c:v>1204924</c:v>
                </c:pt>
                <c:pt idx="26">
                  <c:v>1208475</c:v>
                </c:pt>
                <c:pt idx="27">
                  <c:v>1208464</c:v>
                </c:pt>
                <c:pt idx="28">
                  <c:v>1207183</c:v>
                </c:pt>
              </c:numCache>
            </c:numRef>
          </c:yVal>
          <c:smooth val="0"/>
          <c:extLst>
            <c:ext xmlns:c16="http://schemas.microsoft.com/office/drawing/2014/chart" uri="{C3380CC4-5D6E-409C-BE32-E72D297353CC}">
              <c16:uniqueId val="{00000000-84D7-4377-AAB2-D688A6579A9A}"/>
            </c:ext>
          </c:extLst>
        </c:ser>
        <c:ser>
          <c:idx val="1"/>
          <c:order val="1"/>
          <c:tx>
            <c:v>Moyenne</c:v>
          </c:tx>
          <c:marker>
            <c:symbol val="none"/>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ans-lunaisons'!$C$8:$AE$8</c:f>
              <c:numCache>
                <c:formatCode>#,##0</c:formatCode>
                <c:ptCount val="29"/>
                <c:pt idx="0">
                  <c:v>1209795</c:v>
                </c:pt>
                <c:pt idx="1">
                  <c:v>1209795</c:v>
                </c:pt>
                <c:pt idx="2">
                  <c:v>1209795</c:v>
                </c:pt>
                <c:pt idx="3">
                  <c:v>1209795</c:v>
                </c:pt>
                <c:pt idx="4">
                  <c:v>1209795</c:v>
                </c:pt>
                <c:pt idx="5">
                  <c:v>1209795</c:v>
                </c:pt>
                <c:pt idx="6">
                  <c:v>1209795</c:v>
                </c:pt>
                <c:pt idx="7">
                  <c:v>1209795</c:v>
                </c:pt>
                <c:pt idx="8">
                  <c:v>1209795</c:v>
                </c:pt>
                <c:pt idx="9">
                  <c:v>1209795</c:v>
                </c:pt>
                <c:pt idx="10">
                  <c:v>1209795</c:v>
                </c:pt>
                <c:pt idx="11">
                  <c:v>1209795</c:v>
                </c:pt>
                <c:pt idx="12">
                  <c:v>1209795</c:v>
                </c:pt>
                <c:pt idx="13">
                  <c:v>1209795</c:v>
                </c:pt>
                <c:pt idx="14">
                  <c:v>1209795</c:v>
                </c:pt>
                <c:pt idx="15">
                  <c:v>1209795</c:v>
                </c:pt>
                <c:pt idx="16">
                  <c:v>1209795</c:v>
                </c:pt>
                <c:pt idx="17">
                  <c:v>1209795</c:v>
                </c:pt>
                <c:pt idx="18">
                  <c:v>1209795</c:v>
                </c:pt>
                <c:pt idx="19">
                  <c:v>1209795</c:v>
                </c:pt>
                <c:pt idx="20">
                  <c:v>1209795</c:v>
                </c:pt>
                <c:pt idx="21">
                  <c:v>1209795</c:v>
                </c:pt>
                <c:pt idx="22">
                  <c:v>1209795</c:v>
                </c:pt>
                <c:pt idx="23">
                  <c:v>1209795</c:v>
                </c:pt>
                <c:pt idx="24">
                  <c:v>1209795</c:v>
                </c:pt>
                <c:pt idx="25">
                  <c:v>1209795</c:v>
                </c:pt>
                <c:pt idx="26">
                  <c:v>1209795</c:v>
                </c:pt>
                <c:pt idx="27">
                  <c:v>1209795</c:v>
                </c:pt>
                <c:pt idx="28">
                  <c:v>1209795</c:v>
                </c:pt>
              </c:numCache>
            </c:numRef>
          </c:yVal>
          <c:smooth val="0"/>
          <c:extLst>
            <c:ext xmlns:c16="http://schemas.microsoft.com/office/drawing/2014/chart" uri="{C3380CC4-5D6E-409C-BE32-E72D297353CC}">
              <c16:uniqueId val="{00000001-84D7-4377-AAB2-D688A6579A9A}"/>
            </c:ext>
          </c:extLst>
        </c:ser>
        <c:dLbls>
          <c:showLegendKey val="0"/>
          <c:showVal val="0"/>
          <c:showCatName val="0"/>
          <c:showSerName val="0"/>
          <c:showPercent val="0"/>
          <c:showBubbleSize val="0"/>
        </c:dLbls>
        <c:axId val="442290888"/>
        <c:axId val="1"/>
      </c:scatterChart>
      <c:valAx>
        <c:axId val="442290888"/>
        <c:scaling>
          <c:orientation val="minMax"/>
          <c:max val="15"/>
          <c:min val="-1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fr-FR"/>
          </a:p>
        </c:txPr>
        <c:crossAx val="1"/>
        <c:crosses val="autoZero"/>
        <c:crossBetween val="midCat"/>
        <c:majorUnit val="1"/>
      </c:valAx>
      <c:valAx>
        <c:axId val="1"/>
        <c:scaling>
          <c:orientation val="minMax"/>
          <c:min val="1200999.9999999998"/>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42290888"/>
        <c:crosses val="autoZero"/>
        <c:crossBetween val="midCat"/>
      </c:valAx>
      <c:spPr>
        <a:noFill/>
        <a:ln w="25400">
          <a:noFill/>
        </a:ln>
      </c:spPr>
    </c:plotArea>
    <c:legend>
      <c:legendPos val="t"/>
      <c:legendEntry>
        <c:idx val="0"/>
        <c:delete val="1"/>
      </c:legendEntry>
      <c:layout>
        <c:manualLayout>
          <c:xMode val="edge"/>
          <c:yMode val="edge"/>
          <c:x val="0.80414544023062506"/>
          <c:y val="6.783114992721978E-2"/>
          <c:w val="0.1645503404968168"/>
          <c:h val="5.2643124849568478E-2"/>
        </c:manualLayout>
      </c:layout>
      <c:overlay val="0"/>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fr-FR" sz="1200" b="1"/>
              <a:t>Nombre de naissances cumulées en France sur 46 ans (1968-2013) par jour de lunaison </a:t>
            </a:r>
            <a:r>
              <a:rPr lang="fr-FR" sz="1200" b="1" baseline="0"/>
              <a:t>(0 = pleine Lune)</a:t>
            </a:r>
            <a:endParaRPr lang="fr-FR" sz="1200" b="1"/>
          </a:p>
        </c:rich>
      </c:tx>
      <c:overlay val="0"/>
      <c:spPr>
        <a:noFill/>
        <a:ln w="25400">
          <a:noFill/>
        </a:ln>
      </c:spPr>
    </c:title>
    <c:autoTitleDeleted val="0"/>
    <c:plotArea>
      <c:layout>
        <c:manualLayout>
          <c:layoutTarget val="inner"/>
          <c:xMode val="edge"/>
          <c:yMode val="edge"/>
          <c:x val="2.1523159494687888E-2"/>
          <c:y val="0.13680175467577044"/>
          <c:w val="0.96811627880746642"/>
          <c:h val="0.82057058974751351"/>
        </c:manualLayout>
      </c:layout>
      <c:scatterChart>
        <c:scatterStyle val="smoothMarker"/>
        <c:varyColors val="0"/>
        <c:ser>
          <c:idx val="5"/>
          <c:order val="0"/>
          <c:tx>
            <c:v>Moyenne</c:v>
          </c:tx>
          <c:spPr>
            <a:ln>
              <a:solidFill>
                <a:srgbClr val="FF0000"/>
              </a:solidFill>
            </a:ln>
          </c:spPr>
          <c:marker>
            <c:symbol val="none"/>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ans-lunaisons'!$C$10:$AE$10</c:f>
              <c:numCache>
                <c:formatCode>#,##0</c:formatCode>
                <c:ptCount val="29"/>
                <c:pt idx="0">
                  <c:v>1209795</c:v>
                </c:pt>
                <c:pt idx="1">
                  <c:v>1209795</c:v>
                </c:pt>
                <c:pt idx="2">
                  <c:v>1209795</c:v>
                </c:pt>
                <c:pt idx="3">
                  <c:v>1209795</c:v>
                </c:pt>
                <c:pt idx="4">
                  <c:v>1209795</c:v>
                </c:pt>
                <c:pt idx="5">
                  <c:v>1209795</c:v>
                </c:pt>
                <c:pt idx="6">
                  <c:v>1209795</c:v>
                </c:pt>
                <c:pt idx="7">
                  <c:v>1209795</c:v>
                </c:pt>
                <c:pt idx="8">
                  <c:v>1209795</c:v>
                </c:pt>
                <c:pt idx="9">
                  <c:v>1209795</c:v>
                </c:pt>
                <c:pt idx="10">
                  <c:v>1209795</c:v>
                </c:pt>
                <c:pt idx="11">
                  <c:v>1209795</c:v>
                </c:pt>
                <c:pt idx="12">
                  <c:v>1209795</c:v>
                </c:pt>
                <c:pt idx="13">
                  <c:v>1209795</c:v>
                </c:pt>
                <c:pt idx="14">
                  <c:v>1209795</c:v>
                </c:pt>
                <c:pt idx="15">
                  <c:v>1209795</c:v>
                </c:pt>
                <c:pt idx="16">
                  <c:v>1209795</c:v>
                </c:pt>
                <c:pt idx="17">
                  <c:v>1209795</c:v>
                </c:pt>
                <c:pt idx="18">
                  <c:v>1209795</c:v>
                </c:pt>
                <c:pt idx="19">
                  <c:v>1209795</c:v>
                </c:pt>
                <c:pt idx="20">
                  <c:v>1209795</c:v>
                </c:pt>
                <c:pt idx="21">
                  <c:v>1209795</c:v>
                </c:pt>
                <c:pt idx="22">
                  <c:v>1209795</c:v>
                </c:pt>
                <c:pt idx="23">
                  <c:v>1209795</c:v>
                </c:pt>
                <c:pt idx="24">
                  <c:v>1209795</c:v>
                </c:pt>
                <c:pt idx="25">
                  <c:v>1209795</c:v>
                </c:pt>
                <c:pt idx="26">
                  <c:v>1209795</c:v>
                </c:pt>
                <c:pt idx="27">
                  <c:v>1209795</c:v>
                </c:pt>
                <c:pt idx="28">
                  <c:v>1209795</c:v>
                </c:pt>
              </c:numCache>
            </c:numRef>
          </c:yVal>
          <c:smooth val="1"/>
          <c:extLst>
            <c:ext xmlns:c16="http://schemas.microsoft.com/office/drawing/2014/chart" uri="{C3380CC4-5D6E-409C-BE32-E72D297353CC}">
              <c16:uniqueId val="{00000000-91EF-4390-A3EF-F0B0A5C7F308}"/>
            </c:ext>
          </c:extLst>
        </c:ser>
        <c:ser>
          <c:idx val="3"/>
          <c:order val="1"/>
          <c:tx>
            <c:v>+3EC</c:v>
          </c:tx>
          <c:spPr>
            <a:ln>
              <a:solidFill>
                <a:srgbClr val="FFC000"/>
              </a:solidFill>
            </a:ln>
          </c:spPr>
          <c:marker>
            <c:symbol val="x"/>
            <c:size val="5"/>
            <c:spPr>
              <a:ln>
                <a:solidFill>
                  <a:srgbClr val="FFC000"/>
                </a:solidFill>
              </a:ln>
            </c:spPr>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ans-lunaisons'!$C$7:$AE$7</c:f>
              <c:numCache>
                <c:formatCode>#,##0</c:formatCode>
                <c:ptCount val="29"/>
                <c:pt idx="0">
                  <c:v>1217703.4816926981</c:v>
                </c:pt>
                <c:pt idx="1">
                  <c:v>1217703.4816926981</c:v>
                </c:pt>
                <c:pt idx="2">
                  <c:v>1217703.4816926981</c:v>
                </c:pt>
                <c:pt idx="3">
                  <c:v>1217703.4816926981</c:v>
                </c:pt>
                <c:pt idx="4">
                  <c:v>1217703.4816926981</c:v>
                </c:pt>
                <c:pt idx="5">
                  <c:v>1217703.4816926981</c:v>
                </c:pt>
                <c:pt idx="6">
                  <c:v>1217703.4816926981</c:v>
                </c:pt>
                <c:pt idx="7">
                  <c:v>1217703.4816926981</c:v>
                </c:pt>
                <c:pt idx="8">
                  <c:v>1217703.4816926981</c:v>
                </c:pt>
                <c:pt idx="9">
                  <c:v>1217703.4816926981</c:v>
                </c:pt>
                <c:pt idx="10">
                  <c:v>1217703.4816926981</c:v>
                </c:pt>
                <c:pt idx="11">
                  <c:v>1217703.4816926981</c:v>
                </c:pt>
                <c:pt idx="12">
                  <c:v>1217703.4816926981</c:v>
                </c:pt>
                <c:pt idx="13">
                  <c:v>1217703.4816926981</c:v>
                </c:pt>
                <c:pt idx="14">
                  <c:v>1217703.4816926981</c:v>
                </c:pt>
                <c:pt idx="15">
                  <c:v>1217703.4816926981</c:v>
                </c:pt>
                <c:pt idx="16">
                  <c:v>1217703.4816926981</c:v>
                </c:pt>
                <c:pt idx="17">
                  <c:v>1217703.4816926981</c:v>
                </c:pt>
                <c:pt idx="18">
                  <c:v>1217703.4816926981</c:v>
                </c:pt>
                <c:pt idx="19">
                  <c:v>1217703.4816926981</c:v>
                </c:pt>
                <c:pt idx="20">
                  <c:v>1217703.4816926981</c:v>
                </c:pt>
                <c:pt idx="21">
                  <c:v>1217703.4816926981</c:v>
                </c:pt>
                <c:pt idx="22">
                  <c:v>1217703.4816926981</c:v>
                </c:pt>
                <c:pt idx="23">
                  <c:v>1217703.4816926981</c:v>
                </c:pt>
                <c:pt idx="24">
                  <c:v>1217703.4816926981</c:v>
                </c:pt>
                <c:pt idx="25">
                  <c:v>1217703.4816926981</c:v>
                </c:pt>
                <c:pt idx="26">
                  <c:v>1217703.4816926981</c:v>
                </c:pt>
                <c:pt idx="27">
                  <c:v>1217703.4816926981</c:v>
                </c:pt>
                <c:pt idx="28">
                  <c:v>1217703.4816926981</c:v>
                </c:pt>
              </c:numCache>
            </c:numRef>
          </c:yVal>
          <c:smooth val="1"/>
          <c:extLst>
            <c:ext xmlns:c16="http://schemas.microsoft.com/office/drawing/2014/chart" uri="{C3380CC4-5D6E-409C-BE32-E72D297353CC}">
              <c16:uniqueId val="{00000001-91EF-4390-A3EF-F0B0A5C7F308}"/>
            </c:ext>
          </c:extLst>
        </c:ser>
        <c:ser>
          <c:idx val="4"/>
          <c:order val="2"/>
          <c:tx>
            <c:v>-3EC</c:v>
          </c:tx>
          <c:spPr>
            <a:ln>
              <a:solidFill>
                <a:srgbClr val="FFC000"/>
              </a:solidFill>
            </a:ln>
          </c:spPr>
          <c:marker>
            <c:symbol val="triangle"/>
            <c:size val="5"/>
            <c:spPr>
              <a:solidFill>
                <a:srgbClr val="FFC000"/>
              </a:solidFill>
              <a:ln>
                <a:solidFill>
                  <a:srgbClr val="FFC000"/>
                </a:solidFill>
              </a:ln>
            </c:spPr>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ans-lunaisons'!$C$6:$AE$6</c:f>
              <c:numCache>
                <c:formatCode>#,##0</c:formatCode>
                <c:ptCount val="29"/>
                <c:pt idx="0">
                  <c:v>1201887.2079624746</c:v>
                </c:pt>
                <c:pt idx="1">
                  <c:v>1201887.2079624746</c:v>
                </c:pt>
                <c:pt idx="2">
                  <c:v>1201887.2079624746</c:v>
                </c:pt>
                <c:pt idx="3">
                  <c:v>1201887.2079624746</c:v>
                </c:pt>
                <c:pt idx="4">
                  <c:v>1201887.2079624746</c:v>
                </c:pt>
                <c:pt idx="5">
                  <c:v>1201887.2079624746</c:v>
                </c:pt>
                <c:pt idx="6">
                  <c:v>1201887.2079624746</c:v>
                </c:pt>
                <c:pt idx="7">
                  <c:v>1201887.2079624746</c:v>
                </c:pt>
                <c:pt idx="8">
                  <c:v>1201887.2079624746</c:v>
                </c:pt>
                <c:pt idx="9">
                  <c:v>1201887.2079624746</c:v>
                </c:pt>
                <c:pt idx="10">
                  <c:v>1201887.2079624746</c:v>
                </c:pt>
                <c:pt idx="11">
                  <c:v>1201887.2079624746</c:v>
                </c:pt>
                <c:pt idx="12">
                  <c:v>1201887.2079624746</c:v>
                </c:pt>
                <c:pt idx="13">
                  <c:v>1201887.2079624746</c:v>
                </c:pt>
                <c:pt idx="14">
                  <c:v>1201887.2079624746</c:v>
                </c:pt>
                <c:pt idx="15">
                  <c:v>1201887.2079624746</c:v>
                </c:pt>
                <c:pt idx="16">
                  <c:v>1201887.2079624746</c:v>
                </c:pt>
                <c:pt idx="17">
                  <c:v>1201887.2079624746</c:v>
                </c:pt>
                <c:pt idx="18">
                  <c:v>1201887.2079624746</c:v>
                </c:pt>
                <c:pt idx="19">
                  <c:v>1201887.2079624746</c:v>
                </c:pt>
                <c:pt idx="20">
                  <c:v>1201887.2079624746</c:v>
                </c:pt>
                <c:pt idx="21">
                  <c:v>1201887.2079624746</c:v>
                </c:pt>
                <c:pt idx="22">
                  <c:v>1201887.2079624746</c:v>
                </c:pt>
                <c:pt idx="23">
                  <c:v>1201887.2079624746</c:v>
                </c:pt>
                <c:pt idx="24">
                  <c:v>1201887.2079624746</c:v>
                </c:pt>
                <c:pt idx="25">
                  <c:v>1201887.2079624746</c:v>
                </c:pt>
                <c:pt idx="26">
                  <c:v>1201887.2079624746</c:v>
                </c:pt>
                <c:pt idx="27">
                  <c:v>1201887.2079624746</c:v>
                </c:pt>
                <c:pt idx="28">
                  <c:v>1201887.2079624746</c:v>
                </c:pt>
              </c:numCache>
            </c:numRef>
          </c:yVal>
          <c:smooth val="1"/>
          <c:extLst>
            <c:ext xmlns:c16="http://schemas.microsoft.com/office/drawing/2014/chart" uri="{C3380CC4-5D6E-409C-BE32-E72D297353CC}">
              <c16:uniqueId val="{00000002-91EF-4390-A3EF-F0B0A5C7F308}"/>
            </c:ext>
          </c:extLst>
        </c:ser>
        <c:ser>
          <c:idx val="1"/>
          <c:order val="3"/>
          <c:tx>
            <c:v>+2EC</c:v>
          </c:tx>
          <c:spPr>
            <a:ln>
              <a:solidFill>
                <a:srgbClr val="FF00FF"/>
              </a:solidFill>
            </a:ln>
          </c:spPr>
          <c:marker>
            <c:symbol val="square"/>
            <c:size val="5"/>
            <c:spPr>
              <a:solidFill>
                <a:srgbClr val="FF00FF"/>
              </a:solidFill>
              <a:ln>
                <a:solidFill>
                  <a:srgbClr val="FF00FF"/>
                </a:solidFill>
              </a:ln>
            </c:spPr>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ans-lunaisons'!$C$4:$AE$4</c:f>
              <c:numCache>
                <c:formatCode>#,##0</c:formatCode>
                <c:ptCount val="29"/>
                <c:pt idx="0">
                  <c:v>1215067.4360709942</c:v>
                </c:pt>
                <c:pt idx="1">
                  <c:v>1215067.4360709942</c:v>
                </c:pt>
                <c:pt idx="2">
                  <c:v>1215067.4360709942</c:v>
                </c:pt>
                <c:pt idx="3">
                  <c:v>1215067.4360709942</c:v>
                </c:pt>
                <c:pt idx="4">
                  <c:v>1215067.4360709942</c:v>
                </c:pt>
                <c:pt idx="5">
                  <c:v>1215067.4360709942</c:v>
                </c:pt>
                <c:pt idx="6">
                  <c:v>1215067.4360709942</c:v>
                </c:pt>
                <c:pt idx="7">
                  <c:v>1215067.4360709942</c:v>
                </c:pt>
                <c:pt idx="8">
                  <c:v>1215067.4360709942</c:v>
                </c:pt>
                <c:pt idx="9">
                  <c:v>1215067.4360709942</c:v>
                </c:pt>
                <c:pt idx="10">
                  <c:v>1215067.4360709942</c:v>
                </c:pt>
                <c:pt idx="11">
                  <c:v>1215067.4360709942</c:v>
                </c:pt>
                <c:pt idx="12">
                  <c:v>1215067.4360709942</c:v>
                </c:pt>
                <c:pt idx="13">
                  <c:v>1215067.4360709942</c:v>
                </c:pt>
                <c:pt idx="14">
                  <c:v>1215067.4360709942</c:v>
                </c:pt>
                <c:pt idx="15">
                  <c:v>1215067.4360709942</c:v>
                </c:pt>
                <c:pt idx="16">
                  <c:v>1215067.4360709942</c:v>
                </c:pt>
                <c:pt idx="17">
                  <c:v>1215067.4360709942</c:v>
                </c:pt>
                <c:pt idx="18">
                  <c:v>1215067.4360709942</c:v>
                </c:pt>
                <c:pt idx="19">
                  <c:v>1215067.4360709942</c:v>
                </c:pt>
                <c:pt idx="20">
                  <c:v>1215067.4360709942</c:v>
                </c:pt>
                <c:pt idx="21">
                  <c:v>1215067.4360709942</c:v>
                </c:pt>
                <c:pt idx="22">
                  <c:v>1215067.4360709942</c:v>
                </c:pt>
                <c:pt idx="23">
                  <c:v>1215067.4360709942</c:v>
                </c:pt>
                <c:pt idx="24">
                  <c:v>1215067.4360709942</c:v>
                </c:pt>
                <c:pt idx="25">
                  <c:v>1215067.4360709942</c:v>
                </c:pt>
                <c:pt idx="26">
                  <c:v>1215067.4360709942</c:v>
                </c:pt>
                <c:pt idx="27">
                  <c:v>1215067.4360709942</c:v>
                </c:pt>
                <c:pt idx="28">
                  <c:v>1215067.4360709942</c:v>
                </c:pt>
              </c:numCache>
            </c:numRef>
          </c:yVal>
          <c:smooth val="1"/>
          <c:extLst>
            <c:ext xmlns:c16="http://schemas.microsoft.com/office/drawing/2014/chart" uri="{C3380CC4-5D6E-409C-BE32-E72D297353CC}">
              <c16:uniqueId val="{00000003-91EF-4390-A3EF-F0B0A5C7F308}"/>
            </c:ext>
          </c:extLst>
        </c:ser>
        <c:ser>
          <c:idx val="2"/>
          <c:order val="4"/>
          <c:tx>
            <c:v>-2EC</c:v>
          </c:tx>
          <c:spPr>
            <a:ln>
              <a:solidFill>
                <a:srgbClr val="FF00FF"/>
              </a:solidFill>
            </a:ln>
          </c:spPr>
          <c:marker>
            <c:symbol val="diamond"/>
            <c:size val="6"/>
            <c:spPr>
              <a:solidFill>
                <a:srgbClr val="FF00FF"/>
              </a:solidFill>
              <a:ln>
                <a:solidFill>
                  <a:srgbClr val="FF00FF"/>
                </a:solidFill>
              </a:ln>
            </c:spPr>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ans-lunaisons'!$C$5:$AE$5</c:f>
              <c:numCache>
                <c:formatCode>#,##0</c:formatCode>
                <c:ptCount val="29"/>
                <c:pt idx="0">
                  <c:v>1204523.2535841784</c:v>
                </c:pt>
                <c:pt idx="1">
                  <c:v>1204523.2535841784</c:v>
                </c:pt>
                <c:pt idx="2">
                  <c:v>1204523.2535841784</c:v>
                </c:pt>
                <c:pt idx="3">
                  <c:v>1204523.2535841784</c:v>
                </c:pt>
                <c:pt idx="4">
                  <c:v>1204523.2535841784</c:v>
                </c:pt>
                <c:pt idx="5">
                  <c:v>1204523.2535841784</c:v>
                </c:pt>
                <c:pt idx="6">
                  <c:v>1204523.2535841784</c:v>
                </c:pt>
                <c:pt idx="7">
                  <c:v>1204523.2535841784</c:v>
                </c:pt>
                <c:pt idx="8">
                  <c:v>1204523.2535841784</c:v>
                </c:pt>
                <c:pt idx="9">
                  <c:v>1204523.2535841784</c:v>
                </c:pt>
                <c:pt idx="10">
                  <c:v>1204523.2535841784</c:v>
                </c:pt>
                <c:pt idx="11">
                  <c:v>1204523.2535841784</c:v>
                </c:pt>
                <c:pt idx="12">
                  <c:v>1204523.2535841784</c:v>
                </c:pt>
                <c:pt idx="13">
                  <c:v>1204523.2535841784</c:v>
                </c:pt>
                <c:pt idx="14">
                  <c:v>1204523.2535841784</c:v>
                </c:pt>
                <c:pt idx="15">
                  <c:v>1204523.2535841784</c:v>
                </c:pt>
                <c:pt idx="16">
                  <c:v>1204523.2535841784</c:v>
                </c:pt>
                <c:pt idx="17">
                  <c:v>1204523.2535841784</c:v>
                </c:pt>
                <c:pt idx="18">
                  <c:v>1204523.2535841784</c:v>
                </c:pt>
                <c:pt idx="19">
                  <c:v>1204523.2535841784</c:v>
                </c:pt>
                <c:pt idx="20">
                  <c:v>1204523.2535841784</c:v>
                </c:pt>
                <c:pt idx="21">
                  <c:v>1204523.2535841784</c:v>
                </c:pt>
                <c:pt idx="22">
                  <c:v>1204523.2535841784</c:v>
                </c:pt>
                <c:pt idx="23">
                  <c:v>1204523.2535841784</c:v>
                </c:pt>
                <c:pt idx="24">
                  <c:v>1204523.2535841784</c:v>
                </c:pt>
                <c:pt idx="25">
                  <c:v>1204523.2535841784</c:v>
                </c:pt>
                <c:pt idx="26">
                  <c:v>1204523.2535841784</c:v>
                </c:pt>
                <c:pt idx="27">
                  <c:v>1204523.2535841784</c:v>
                </c:pt>
                <c:pt idx="28">
                  <c:v>1204523.2535841784</c:v>
                </c:pt>
              </c:numCache>
            </c:numRef>
          </c:yVal>
          <c:smooth val="1"/>
          <c:extLst>
            <c:ext xmlns:c16="http://schemas.microsoft.com/office/drawing/2014/chart" uri="{C3380CC4-5D6E-409C-BE32-E72D297353CC}">
              <c16:uniqueId val="{00000004-91EF-4390-A3EF-F0B0A5C7F308}"/>
            </c:ext>
          </c:extLst>
        </c:ser>
        <c:dLbls>
          <c:showLegendKey val="0"/>
          <c:showVal val="0"/>
          <c:showCatName val="0"/>
          <c:showSerName val="0"/>
          <c:showPercent val="0"/>
          <c:showBubbleSize val="0"/>
        </c:dLbls>
        <c:axId val="1899999248"/>
        <c:axId val="1"/>
      </c:scatterChart>
      <c:scatterChart>
        <c:scatterStyle val="lineMarker"/>
        <c:varyColors val="0"/>
        <c:ser>
          <c:idx val="6"/>
          <c:order val="5"/>
          <c:tx>
            <c:v>+EC</c:v>
          </c:tx>
          <c:spPr>
            <a:ln>
              <a:solidFill>
                <a:srgbClr val="00B050"/>
              </a:solidFill>
              <a:prstDash val="sysDot"/>
            </a:ln>
          </c:spPr>
          <c:marker>
            <c:symbol val="dash"/>
            <c:size val="7"/>
            <c:spPr>
              <a:ln>
                <a:solidFill>
                  <a:srgbClr val="00B050"/>
                </a:solidFill>
              </a:ln>
            </c:spPr>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ans-lunaisons'!$C$8:$AE$8</c:f>
              <c:numCache>
                <c:formatCode>#,##0</c:formatCode>
                <c:ptCount val="29"/>
                <c:pt idx="0">
                  <c:v>1212431.3904492902</c:v>
                </c:pt>
                <c:pt idx="1">
                  <c:v>1212431.3904492902</c:v>
                </c:pt>
                <c:pt idx="2">
                  <c:v>1212431.3904492902</c:v>
                </c:pt>
                <c:pt idx="3">
                  <c:v>1212431.3904492902</c:v>
                </c:pt>
                <c:pt idx="4">
                  <c:v>1212431.3904492902</c:v>
                </c:pt>
                <c:pt idx="5">
                  <c:v>1212431.3904492902</c:v>
                </c:pt>
                <c:pt idx="6">
                  <c:v>1212431.3904492902</c:v>
                </c:pt>
                <c:pt idx="7">
                  <c:v>1212431.3904492902</c:v>
                </c:pt>
                <c:pt idx="8">
                  <c:v>1212431.3904492902</c:v>
                </c:pt>
                <c:pt idx="9">
                  <c:v>1212431.3904492902</c:v>
                </c:pt>
                <c:pt idx="10">
                  <c:v>1212431.3904492902</c:v>
                </c:pt>
                <c:pt idx="11">
                  <c:v>1212431.3904492902</c:v>
                </c:pt>
                <c:pt idx="12">
                  <c:v>1212431.3904492902</c:v>
                </c:pt>
                <c:pt idx="13">
                  <c:v>1212431.3904492902</c:v>
                </c:pt>
                <c:pt idx="14">
                  <c:v>1212431.3904492902</c:v>
                </c:pt>
                <c:pt idx="15">
                  <c:v>1212431.3904492902</c:v>
                </c:pt>
                <c:pt idx="16">
                  <c:v>1212431.3904492902</c:v>
                </c:pt>
                <c:pt idx="17">
                  <c:v>1212431.3904492902</c:v>
                </c:pt>
                <c:pt idx="18">
                  <c:v>1212431.3904492902</c:v>
                </c:pt>
                <c:pt idx="19">
                  <c:v>1212431.3904492902</c:v>
                </c:pt>
                <c:pt idx="20">
                  <c:v>1212431.3904492902</c:v>
                </c:pt>
                <c:pt idx="21">
                  <c:v>1212431.3904492902</c:v>
                </c:pt>
                <c:pt idx="22">
                  <c:v>1212431.3904492902</c:v>
                </c:pt>
                <c:pt idx="23">
                  <c:v>1212431.3904492902</c:v>
                </c:pt>
                <c:pt idx="24">
                  <c:v>1212431.3904492902</c:v>
                </c:pt>
                <c:pt idx="25">
                  <c:v>1212431.3904492902</c:v>
                </c:pt>
                <c:pt idx="26">
                  <c:v>1212431.3904492902</c:v>
                </c:pt>
                <c:pt idx="27">
                  <c:v>1212431.3904492902</c:v>
                </c:pt>
                <c:pt idx="28">
                  <c:v>1212431.3904492902</c:v>
                </c:pt>
              </c:numCache>
            </c:numRef>
          </c:yVal>
          <c:smooth val="0"/>
          <c:extLst>
            <c:ext xmlns:c16="http://schemas.microsoft.com/office/drawing/2014/chart" uri="{C3380CC4-5D6E-409C-BE32-E72D297353CC}">
              <c16:uniqueId val="{00000005-91EF-4390-A3EF-F0B0A5C7F308}"/>
            </c:ext>
          </c:extLst>
        </c:ser>
        <c:ser>
          <c:idx val="7"/>
          <c:order val="6"/>
          <c:tx>
            <c:v>-EC</c:v>
          </c:tx>
          <c:spPr>
            <a:ln>
              <a:solidFill>
                <a:srgbClr val="00B050"/>
              </a:solidFill>
              <a:prstDash val="sysDot"/>
            </a:ln>
          </c:spPr>
          <c:marker>
            <c:symbol val="plus"/>
            <c:size val="8"/>
            <c:spPr>
              <a:ln w="25400">
                <a:solidFill>
                  <a:srgbClr val="00B050"/>
                </a:solidFill>
              </a:ln>
            </c:spPr>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ans-lunaisons'!$C$9:$AE$9</c:f>
              <c:numCache>
                <c:formatCode>#,##0</c:formatCode>
                <c:ptCount val="29"/>
                <c:pt idx="0">
                  <c:v>1207159.2992058825</c:v>
                </c:pt>
                <c:pt idx="1">
                  <c:v>1207159.2992058825</c:v>
                </c:pt>
                <c:pt idx="2">
                  <c:v>1207159.2992058825</c:v>
                </c:pt>
                <c:pt idx="3">
                  <c:v>1207159.2992058825</c:v>
                </c:pt>
                <c:pt idx="4">
                  <c:v>1207159.2992058825</c:v>
                </c:pt>
                <c:pt idx="5">
                  <c:v>1207159.2992058825</c:v>
                </c:pt>
                <c:pt idx="6">
                  <c:v>1207159.2992058825</c:v>
                </c:pt>
                <c:pt idx="7">
                  <c:v>1207159.2992058825</c:v>
                </c:pt>
                <c:pt idx="8">
                  <c:v>1207159.2992058825</c:v>
                </c:pt>
                <c:pt idx="9">
                  <c:v>1207159.2992058825</c:v>
                </c:pt>
                <c:pt idx="10">
                  <c:v>1207159.2992058825</c:v>
                </c:pt>
                <c:pt idx="11">
                  <c:v>1207159.2992058825</c:v>
                </c:pt>
                <c:pt idx="12">
                  <c:v>1207159.2992058825</c:v>
                </c:pt>
                <c:pt idx="13">
                  <c:v>1207159.2992058825</c:v>
                </c:pt>
                <c:pt idx="14">
                  <c:v>1207159.2992058825</c:v>
                </c:pt>
                <c:pt idx="15">
                  <c:v>1207159.2992058825</c:v>
                </c:pt>
                <c:pt idx="16">
                  <c:v>1207159.2992058825</c:v>
                </c:pt>
                <c:pt idx="17">
                  <c:v>1207159.2992058825</c:v>
                </c:pt>
                <c:pt idx="18">
                  <c:v>1207159.2992058825</c:v>
                </c:pt>
                <c:pt idx="19">
                  <c:v>1207159.2992058825</c:v>
                </c:pt>
                <c:pt idx="20">
                  <c:v>1207159.2992058825</c:v>
                </c:pt>
                <c:pt idx="21">
                  <c:v>1207159.2992058825</c:v>
                </c:pt>
                <c:pt idx="22">
                  <c:v>1207159.2992058825</c:v>
                </c:pt>
                <c:pt idx="23">
                  <c:v>1207159.2992058825</c:v>
                </c:pt>
                <c:pt idx="24">
                  <c:v>1207159.2992058825</c:v>
                </c:pt>
                <c:pt idx="25">
                  <c:v>1207159.2992058825</c:v>
                </c:pt>
                <c:pt idx="26">
                  <c:v>1207159.2992058825</c:v>
                </c:pt>
                <c:pt idx="27">
                  <c:v>1207159.2992058825</c:v>
                </c:pt>
                <c:pt idx="28">
                  <c:v>1207159.2992058825</c:v>
                </c:pt>
              </c:numCache>
            </c:numRef>
          </c:yVal>
          <c:smooth val="0"/>
          <c:extLst>
            <c:ext xmlns:c16="http://schemas.microsoft.com/office/drawing/2014/chart" uri="{C3380CC4-5D6E-409C-BE32-E72D297353CC}">
              <c16:uniqueId val="{00000006-91EF-4390-A3EF-F0B0A5C7F308}"/>
            </c:ext>
          </c:extLst>
        </c:ser>
        <c:ser>
          <c:idx val="0"/>
          <c:order val="7"/>
          <c:tx>
            <c:v>Nbre de naissances</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'46 ans-lunaisons'!$C$2:$AE$2</c:f>
              <c:numCache>
                <c:formatCode>General</c:formatCode>
                <c:ptCount val="29"/>
                <c:pt idx="0">
                  <c:v>-14</c:v>
                </c:pt>
                <c:pt idx="1">
                  <c:v>-13</c:v>
                </c:pt>
                <c:pt idx="2">
                  <c:v>-12</c:v>
                </c:pt>
                <c:pt idx="3">
                  <c:v>-11</c:v>
                </c:pt>
                <c:pt idx="4">
                  <c:v>-10</c:v>
                </c:pt>
                <c:pt idx="5">
                  <c:v>-9</c:v>
                </c:pt>
                <c:pt idx="6">
                  <c:v>-8</c:v>
                </c:pt>
                <c:pt idx="7">
                  <c:v>-7</c:v>
                </c:pt>
                <c:pt idx="8">
                  <c:v>-6</c:v>
                </c:pt>
                <c:pt idx="9">
                  <c:v>-5</c:v>
                </c:pt>
                <c:pt idx="10">
                  <c:v>-4</c:v>
                </c:pt>
                <c:pt idx="11">
                  <c:v>-3</c:v>
                </c:pt>
                <c:pt idx="12">
                  <c:v>-2</c:v>
                </c:pt>
                <c:pt idx="13">
                  <c:v>-1</c:v>
                </c:pt>
                <c:pt idx="14">
                  <c:v>0</c:v>
                </c:pt>
                <c:pt idx="15">
                  <c:v>1</c:v>
                </c:pt>
                <c:pt idx="16">
                  <c:v>2</c:v>
                </c:pt>
                <c:pt idx="17">
                  <c:v>3</c:v>
                </c:pt>
                <c:pt idx="18">
                  <c:v>4</c:v>
                </c:pt>
                <c:pt idx="19">
                  <c:v>5</c:v>
                </c:pt>
                <c:pt idx="20">
                  <c:v>6</c:v>
                </c:pt>
                <c:pt idx="21">
                  <c:v>7</c:v>
                </c:pt>
                <c:pt idx="22">
                  <c:v>8</c:v>
                </c:pt>
                <c:pt idx="23">
                  <c:v>9</c:v>
                </c:pt>
                <c:pt idx="24">
                  <c:v>10</c:v>
                </c:pt>
                <c:pt idx="25">
                  <c:v>11</c:v>
                </c:pt>
                <c:pt idx="26">
                  <c:v>12</c:v>
                </c:pt>
                <c:pt idx="27">
                  <c:v>13</c:v>
                </c:pt>
                <c:pt idx="28">
                  <c:v>14</c:v>
                </c:pt>
              </c:numCache>
            </c:numRef>
          </c:xVal>
          <c:yVal>
            <c:numRef>
              <c:f>'46 ans-lunaisons'!$C$3:$AE$3</c:f>
              <c:numCache>
                <c:formatCode>#,##0</c:formatCode>
                <c:ptCount val="29"/>
                <c:pt idx="0">
                  <c:v>1209704</c:v>
                </c:pt>
                <c:pt idx="1">
                  <c:v>1212500</c:v>
                </c:pt>
                <c:pt idx="2">
                  <c:v>1211217</c:v>
                </c:pt>
                <c:pt idx="3">
                  <c:v>1210525</c:v>
                </c:pt>
                <c:pt idx="4">
                  <c:v>1207804</c:v>
                </c:pt>
                <c:pt idx="5">
                  <c:v>1210982</c:v>
                </c:pt>
                <c:pt idx="6">
                  <c:v>1208604</c:v>
                </c:pt>
                <c:pt idx="7">
                  <c:v>1209251</c:v>
                </c:pt>
                <c:pt idx="8">
                  <c:v>1205257</c:v>
                </c:pt>
                <c:pt idx="9">
                  <c:v>1206884</c:v>
                </c:pt>
                <c:pt idx="10">
                  <c:v>1210437</c:v>
                </c:pt>
                <c:pt idx="11">
                  <c:v>1207208</c:v>
                </c:pt>
                <c:pt idx="12">
                  <c:v>1209202</c:v>
                </c:pt>
                <c:pt idx="13">
                  <c:v>1209805</c:v>
                </c:pt>
                <c:pt idx="14">
                  <c:v>1217329</c:v>
                </c:pt>
                <c:pt idx="15">
                  <c:v>1215653</c:v>
                </c:pt>
                <c:pt idx="16">
                  <c:v>1212289</c:v>
                </c:pt>
                <c:pt idx="17">
                  <c:v>1210093</c:v>
                </c:pt>
                <c:pt idx="18">
                  <c:v>1209077</c:v>
                </c:pt>
                <c:pt idx="19">
                  <c:v>1208689</c:v>
                </c:pt>
                <c:pt idx="20">
                  <c:v>1208533</c:v>
                </c:pt>
                <c:pt idx="21">
                  <c:v>1210667</c:v>
                </c:pt>
                <c:pt idx="22">
                  <c:v>1211321</c:v>
                </c:pt>
                <c:pt idx="23">
                  <c:v>1211399</c:v>
                </c:pt>
                <c:pt idx="24">
                  <c:v>1210589</c:v>
                </c:pt>
                <c:pt idx="25">
                  <c:v>1204924</c:v>
                </c:pt>
                <c:pt idx="26">
                  <c:v>1208475</c:v>
                </c:pt>
                <c:pt idx="27">
                  <c:v>1208464</c:v>
                </c:pt>
                <c:pt idx="28">
                  <c:v>1207183</c:v>
                </c:pt>
              </c:numCache>
            </c:numRef>
          </c:yVal>
          <c:smooth val="0"/>
          <c:extLst>
            <c:ext xmlns:c16="http://schemas.microsoft.com/office/drawing/2014/chart" uri="{C3380CC4-5D6E-409C-BE32-E72D297353CC}">
              <c16:uniqueId val="{00000007-91EF-4390-A3EF-F0B0A5C7F308}"/>
            </c:ext>
          </c:extLst>
        </c:ser>
        <c:dLbls>
          <c:showLegendKey val="0"/>
          <c:showVal val="0"/>
          <c:showCatName val="0"/>
          <c:showSerName val="0"/>
          <c:showPercent val="0"/>
          <c:showBubbleSize val="0"/>
        </c:dLbls>
        <c:axId val="1899999248"/>
        <c:axId val="1"/>
      </c:scatterChart>
      <c:valAx>
        <c:axId val="1899999248"/>
        <c:scaling>
          <c:orientation val="minMax"/>
          <c:max val="15"/>
          <c:min val="-1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fr-FR"/>
          </a:p>
        </c:txPr>
        <c:crossAx val="1"/>
        <c:crosses val="autoZero"/>
        <c:crossBetween val="midCat"/>
        <c:majorUnit val="1"/>
      </c:valAx>
      <c:valAx>
        <c:axId val="1"/>
        <c:scaling>
          <c:orientation val="minMax"/>
          <c:min val="1200999.9999999998"/>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899999248"/>
        <c:crosses val="autoZero"/>
        <c:crossBetween val="midCat"/>
      </c:valAx>
      <c:spPr>
        <a:noFill/>
        <a:ln w="25400">
          <a:noFill/>
        </a:ln>
      </c:spPr>
    </c:plotArea>
    <c:legend>
      <c:legendPos val="t"/>
      <c:layout>
        <c:manualLayout>
          <c:xMode val="edge"/>
          <c:yMode val="edge"/>
          <c:x val="3.2809502385677806E-2"/>
          <c:y val="7.4925825267748755E-2"/>
          <c:w val="0.94393574393875335"/>
          <c:h val="7.7128112364332826E-2"/>
        </c:manualLayout>
      </c:layout>
      <c:overlay val="0"/>
    </c:legend>
    <c:plotVisOnly val="1"/>
    <c:dispBlanksAs val="gap"/>
    <c:showDLblsOverMax val="0"/>
  </c:chart>
  <c:spPr>
    <a:solidFill>
      <a:schemeClr val="bg1"/>
    </a:solidFill>
    <a:ln w="9525" cap="flat" cmpd="sng" algn="ctr">
      <a:noFill/>
      <a:round/>
    </a:ln>
    <a:effectLst/>
  </c:spPr>
  <c:txPr>
    <a:bodyPr/>
    <a:lstStyle/>
    <a:p>
      <a:pPr>
        <a:defRPr/>
      </a:pPr>
      <a:endParaRPr lang="fr-FR"/>
    </a:p>
  </c:txPr>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2657</Words>
  <Characters>14614</Characters>
  <Application>Microsoft Office Word</Application>
  <DocSecurity>0</DocSecurity>
  <Lines>121</Lines>
  <Paragraphs>34</Paragraphs>
  <ScaleCrop>false</ScaleCrop>
  <Company/>
  <LinksUpToDate>false</LinksUpToDate>
  <CharactersWithSpaces>17237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A3-3</dc:creator>
  <cp:keywords/>
  <dc:description/>
  <cp:lastModifiedBy>A3-3</cp:lastModifiedBy>
  <cp:revision>1</cp:revision>
  <dcterms:created xsi:type="dcterms:W3CDTF">2026-07-17T14:06:00Z</dcterms:created>
  <dcterms:modified xsi:type="dcterms:W3CDTF">2026-07-17T14:11:00Z</dcterms:modified>
</cp:coreProperties>
</file>